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70" w:type="dxa"/>
        <w:tblInd w:w="83" w:type="dxa"/>
        <w:tblLayout w:type="fixed"/>
        <w:tblLook w:val="04A0" w:firstRow="1" w:lastRow="0" w:firstColumn="1" w:lastColumn="0" w:noHBand="0" w:noVBand="1"/>
      </w:tblPr>
      <w:tblGrid>
        <w:gridCol w:w="905"/>
        <w:gridCol w:w="3402"/>
        <w:gridCol w:w="9563"/>
      </w:tblGrid>
      <w:tr w:rsidR="001E734A" w:rsidRPr="001D6E1B" w14:paraId="5248FC0C" w14:textId="77777777" w:rsidTr="00683A52">
        <w:trPr>
          <w:trHeight w:val="642"/>
        </w:trPr>
        <w:tc>
          <w:tcPr>
            <w:tcW w:w="905" w:type="dxa"/>
            <w:tcBorders>
              <w:top w:val="single" w:sz="4" w:space="0" w:color="auto"/>
              <w:left w:val="single" w:sz="4" w:space="0" w:color="auto"/>
              <w:bottom w:val="single" w:sz="4" w:space="0" w:color="auto"/>
              <w:right w:val="single" w:sz="4" w:space="0" w:color="auto"/>
            </w:tcBorders>
            <w:shd w:val="clear" w:color="auto" w:fill="auto"/>
            <w:hideMark/>
          </w:tcPr>
          <w:p w14:paraId="5248FC08" w14:textId="77777777" w:rsidR="001E734A" w:rsidRPr="001D6E1B" w:rsidRDefault="001E734A" w:rsidP="00683A52">
            <w:pPr>
              <w:spacing w:before="120" w:after="120" w:line="240" w:lineRule="auto"/>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t>10</w:t>
            </w:r>
            <w:r w:rsidR="005672DD" w:rsidRPr="001D6E1B">
              <w:rPr>
                <w:rFonts w:asciiTheme="minorHAnsi" w:eastAsia="Times New Roman" w:hAnsiTheme="minorHAnsi" w:cs="Calibri"/>
                <w:color w:val="000000"/>
                <w:szCs w:val="20"/>
                <w:lang w:eastAsia="en-NZ"/>
              </w:rPr>
              <w:t>3</w:t>
            </w:r>
          </w:p>
        </w:tc>
        <w:tc>
          <w:tcPr>
            <w:tcW w:w="3402" w:type="dxa"/>
            <w:tcBorders>
              <w:top w:val="single" w:sz="4" w:space="0" w:color="auto"/>
              <w:left w:val="nil"/>
              <w:bottom w:val="single" w:sz="4" w:space="0" w:color="auto"/>
              <w:right w:val="single" w:sz="4" w:space="0" w:color="auto"/>
            </w:tcBorders>
            <w:shd w:val="clear" w:color="auto" w:fill="auto"/>
          </w:tcPr>
          <w:p w14:paraId="5248FC09" w14:textId="77777777" w:rsidR="001E734A" w:rsidRPr="001D6E1B" w:rsidRDefault="005672DD" w:rsidP="00683A52">
            <w:pPr>
              <w:pStyle w:val="FRNumberedParagraph"/>
              <w:numPr>
                <w:ilvl w:val="0"/>
                <w:numId w:val="0"/>
              </w:numPr>
              <w:tabs>
                <w:tab w:val="left" w:pos="720"/>
              </w:tabs>
              <w:spacing w:before="120" w:after="120"/>
              <w:rPr>
                <w:rFonts w:asciiTheme="minorHAnsi" w:hAnsiTheme="minorHAnsi" w:cs="Times New Roman"/>
                <w:szCs w:val="20"/>
              </w:rPr>
            </w:pPr>
            <w:r w:rsidRPr="001D6E1B">
              <w:rPr>
                <w:rFonts w:asciiTheme="minorHAnsi" w:hAnsiTheme="minorHAnsi" w:cs="Times New Roman"/>
                <w:szCs w:val="20"/>
              </w:rPr>
              <w:t xml:space="preserve">The Committee notes the Government has not yet responded to two of the Commission’s inquiries: </w:t>
            </w:r>
            <w:r w:rsidRPr="001D6E1B">
              <w:rPr>
                <w:rFonts w:asciiTheme="minorHAnsi" w:hAnsiTheme="minorHAnsi" w:cs="Times New Roman"/>
                <w:i/>
                <w:iCs/>
                <w:szCs w:val="20"/>
              </w:rPr>
              <w:t>More effective social services</w:t>
            </w:r>
            <w:r w:rsidRPr="001D6E1B">
              <w:rPr>
                <w:rFonts w:asciiTheme="minorHAnsi" w:hAnsiTheme="minorHAnsi" w:cs="Times New Roman"/>
                <w:szCs w:val="20"/>
              </w:rPr>
              <w:t xml:space="preserve"> report and its </w:t>
            </w:r>
            <w:r w:rsidRPr="001D6E1B">
              <w:rPr>
                <w:rFonts w:asciiTheme="minorHAnsi" w:hAnsiTheme="minorHAnsi" w:cs="Times New Roman"/>
                <w:i/>
                <w:iCs/>
                <w:szCs w:val="20"/>
              </w:rPr>
              <w:t>Boosting productivity in the services sector</w:t>
            </w:r>
            <w:r w:rsidRPr="001D6E1B">
              <w:rPr>
                <w:rFonts w:asciiTheme="minorHAnsi" w:hAnsiTheme="minorHAnsi" w:cs="Times New Roman"/>
                <w:szCs w:val="20"/>
              </w:rPr>
              <w:t xml:space="preserve"> report. Is it of any concern to the Commission that the Government has not yet responded to these inquiries?</w:t>
            </w:r>
          </w:p>
        </w:tc>
        <w:tc>
          <w:tcPr>
            <w:tcW w:w="9563" w:type="dxa"/>
            <w:tcBorders>
              <w:top w:val="single" w:sz="4" w:space="0" w:color="auto"/>
              <w:left w:val="nil"/>
              <w:bottom w:val="single" w:sz="4" w:space="0" w:color="auto"/>
              <w:right w:val="single" w:sz="4" w:space="0" w:color="auto"/>
            </w:tcBorders>
            <w:shd w:val="clear" w:color="auto" w:fill="auto"/>
            <w:noWrap/>
          </w:tcPr>
          <w:p w14:paraId="5248FC0A" w14:textId="77777777" w:rsidR="00652E6C" w:rsidRDefault="005B557A" w:rsidP="00683A52">
            <w:pPr>
              <w:spacing w:before="120" w:after="120" w:line="240" w:lineRule="auto"/>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t xml:space="preserve">The Government is under no obligation to implement Commission recommendations or to respond to our final reports. Under our Act the Responsible Minister is only required to present a copy of our final report to the House of Representatives “as soon as practicable after the Minister receives it”. </w:t>
            </w:r>
          </w:p>
          <w:p w14:paraId="5248FC0B" w14:textId="77777777" w:rsidR="001E734A" w:rsidRPr="001D6E1B" w:rsidRDefault="005B557A" w:rsidP="00683A52">
            <w:pPr>
              <w:spacing w:before="120" w:after="120" w:line="240" w:lineRule="auto"/>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t>In practice, however, the Government has</w:t>
            </w:r>
            <w:r w:rsidR="00652E6C">
              <w:rPr>
                <w:rFonts w:asciiTheme="minorHAnsi" w:eastAsia="Times New Roman" w:hAnsiTheme="minorHAnsi" w:cs="Calibri"/>
                <w:color w:val="000000"/>
                <w:szCs w:val="20"/>
                <w:lang w:eastAsia="en-NZ"/>
              </w:rPr>
              <w:t xml:space="preserve"> chosen to issue</w:t>
            </w:r>
            <w:r w:rsidRPr="001D6E1B">
              <w:rPr>
                <w:rFonts w:asciiTheme="minorHAnsi" w:eastAsia="Times New Roman" w:hAnsiTheme="minorHAnsi" w:cs="Calibri"/>
                <w:color w:val="000000"/>
                <w:szCs w:val="20"/>
                <w:lang w:eastAsia="en-NZ"/>
              </w:rPr>
              <w:t xml:space="preserve"> formal responses to </w:t>
            </w:r>
            <w:r w:rsidR="006E4010" w:rsidRPr="001D6E1B">
              <w:rPr>
                <w:rFonts w:asciiTheme="minorHAnsi" w:eastAsia="Times New Roman" w:hAnsiTheme="minorHAnsi" w:cs="Calibri"/>
                <w:color w:val="000000"/>
                <w:szCs w:val="20"/>
                <w:lang w:eastAsia="en-NZ"/>
              </w:rPr>
              <w:t xml:space="preserve">the majority of the </w:t>
            </w:r>
            <w:r w:rsidRPr="001D6E1B">
              <w:rPr>
                <w:rFonts w:asciiTheme="minorHAnsi" w:eastAsia="Times New Roman" w:hAnsiTheme="minorHAnsi" w:cs="Calibri"/>
                <w:color w:val="000000"/>
                <w:szCs w:val="20"/>
                <w:lang w:eastAsia="en-NZ"/>
              </w:rPr>
              <w:t>Commission</w:t>
            </w:r>
            <w:r w:rsidR="006E4010" w:rsidRPr="001D6E1B">
              <w:rPr>
                <w:rFonts w:asciiTheme="minorHAnsi" w:eastAsia="Times New Roman" w:hAnsiTheme="minorHAnsi" w:cs="Calibri"/>
                <w:color w:val="000000"/>
                <w:szCs w:val="20"/>
                <w:lang w:eastAsia="en-NZ"/>
              </w:rPr>
              <w:t>’s</w:t>
            </w:r>
            <w:r w:rsidRPr="001D6E1B">
              <w:rPr>
                <w:rFonts w:asciiTheme="minorHAnsi" w:eastAsia="Times New Roman" w:hAnsiTheme="minorHAnsi" w:cs="Calibri"/>
                <w:color w:val="000000"/>
                <w:szCs w:val="20"/>
                <w:lang w:eastAsia="en-NZ"/>
              </w:rPr>
              <w:t xml:space="preserve"> inquiry reports, spelling out which recommendations it agrees with and will implement.</w:t>
            </w:r>
            <w:r w:rsidR="00652E6C">
              <w:rPr>
                <w:rFonts w:asciiTheme="minorHAnsi" w:eastAsia="Times New Roman" w:hAnsiTheme="minorHAnsi" w:cs="Calibri"/>
                <w:color w:val="000000"/>
                <w:szCs w:val="20"/>
                <w:lang w:eastAsia="en-NZ"/>
              </w:rPr>
              <w:t xml:space="preserve"> We welcome that practice and encourage the Government to continue it. We are aware of work underway within agencies to consider and respond to the </w:t>
            </w:r>
            <w:r w:rsidR="00652E6C" w:rsidRPr="00652E6C">
              <w:rPr>
                <w:rFonts w:asciiTheme="minorHAnsi" w:eastAsia="Times New Roman" w:hAnsiTheme="minorHAnsi" w:cs="Calibri"/>
                <w:i/>
                <w:color w:val="000000"/>
                <w:szCs w:val="20"/>
                <w:lang w:eastAsia="en-NZ"/>
              </w:rPr>
              <w:t>More effective social services</w:t>
            </w:r>
            <w:r w:rsidR="00652E6C">
              <w:rPr>
                <w:rFonts w:asciiTheme="minorHAnsi" w:eastAsia="Times New Roman" w:hAnsiTheme="minorHAnsi" w:cs="Calibri"/>
                <w:color w:val="000000"/>
                <w:szCs w:val="20"/>
                <w:lang w:eastAsia="en-NZ"/>
              </w:rPr>
              <w:t xml:space="preserve"> report and are aware that </w:t>
            </w:r>
            <w:r w:rsidR="00652E6C" w:rsidRPr="00652E6C">
              <w:rPr>
                <w:rFonts w:asciiTheme="minorHAnsi" w:eastAsia="Times New Roman" w:hAnsiTheme="minorHAnsi" w:cs="Calibri"/>
                <w:i/>
                <w:color w:val="000000"/>
                <w:szCs w:val="20"/>
                <w:lang w:eastAsia="en-NZ"/>
              </w:rPr>
              <w:t>Boosting productivity in the services sector</w:t>
            </w:r>
            <w:r w:rsidR="00652E6C">
              <w:rPr>
                <w:rFonts w:asciiTheme="minorHAnsi" w:eastAsia="Times New Roman" w:hAnsiTheme="minorHAnsi" w:cs="Calibri"/>
                <w:color w:val="000000"/>
                <w:szCs w:val="20"/>
                <w:lang w:eastAsia="en-NZ"/>
              </w:rPr>
              <w:t xml:space="preserve"> has al</w:t>
            </w:r>
            <w:r w:rsidR="00E63502">
              <w:rPr>
                <w:rFonts w:asciiTheme="minorHAnsi" w:eastAsia="Times New Roman" w:hAnsiTheme="minorHAnsi" w:cs="Calibri"/>
                <w:color w:val="000000"/>
                <w:szCs w:val="20"/>
                <w:lang w:eastAsia="en-NZ"/>
              </w:rPr>
              <w:t>so been influential</w:t>
            </w:r>
            <w:r w:rsidR="00652E6C">
              <w:rPr>
                <w:rFonts w:asciiTheme="minorHAnsi" w:eastAsia="Times New Roman" w:hAnsiTheme="minorHAnsi" w:cs="Calibri"/>
                <w:color w:val="000000"/>
                <w:szCs w:val="20"/>
                <w:lang w:eastAsia="en-NZ"/>
              </w:rPr>
              <w:t xml:space="preserve"> within </w:t>
            </w:r>
            <w:r w:rsidR="00E63502">
              <w:rPr>
                <w:rFonts w:asciiTheme="minorHAnsi" w:eastAsia="Times New Roman" w:hAnsiTheme="minorHAnsi" w:cs="Calibri"/>
                <w:color w:val="000000"/>
                <w:szCs w:val="20"/>
                <w:lang w:eastAsia="en-NZ"/>
              </w:rPr>
              <w:t xml:space="preserve">relevant </w:t>
            </w:r>
            <w:r w:rsidR="00652E6C">
              <w:rPr>
                <w:rFonts w:asciiTheme="minorHAnsi" w:eastAsia="Times New Roman" w:hAnsiTheme="minorHAnsi" w:cs="Calibri"/>
                <w:color w:val="000000"/>
                <w:szCs w:val="20"/>
                <w:lang w:eastAsia="en-NZ"/>
              </w:rPr>
              <w:t>agencies. The latter report was, by its nature and in some respects, less open to specific policy responses.</w:t>
            </w:r>
          </w:p>
        </w:tc>
      </w:tr>
      <w:tr w:rsidR="001E734A" w:rsidRPr="001D6E1B" w14:paraId="5248FC2B" w14:textId="77777777" w:rsidTr="00683A52">
        <w:trPr>
          <w:trHeight w:val="642"/>
        </w:trPr>
        <w:tc>
          <w:tcPr>
            <w:tcW w:w="905" w:type="dxa"/>
            <w:tcBorders>
              <w:top w:val="single" w:sz="4" w:space="0" w:color="auto"/>
              <w:left w:val="single" w:sz="4" w:space="0" w:color="auto"/>
              <w:bottom w:val="single" w:sz="4" w:space="0" w:color="auto"/>
              <w:right w:val="single" w:sz="4" w:space="0" w:color="auto"/>
            </w:tcBorders>
            <w:shd w:val="clear" w:color="auto" w:fill="auto"/>
            <w:hideMark/>
          </w:tcPr>
          <w:p w14:paraId="5248FC0D" w14:textId="77777777" w:rsidR="001E734A" w:rsidRPr="001D6E1B" w:rsidRDefault="005672DD" w:rsidP="003520B6">
            <w:pPr>
              <w:spacing w:before="120" w:after="120" w:line="240" w:lineRule="auto"/>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t>104</w:t>
            </w:r>
          </w:p>
        </w:tc>
        <w:tc>
          <w:tcPr>
            <w:tcW w:w="3402" w:type="dxa"/>
            <w:tcBorders>
              <w:top w:val="single" w:sz="4" w:space="0" w:color="auto"/>
              <w:left w:val="nil"/>
              <w:bottom w:val="single" w:sz="4" w:space="0" w:color="auto"/>
              <w:right w:val="single" w:sz="4" w:space="0" w:color="auto"/>
            </w:tcBorders>
            <w:shd w:val="clear" w:color="auto" w:fill="auto"/>
          </w:tcPr>
          <w:p w14:paraId="5248FC0E" w14:textId="77777777" w:rsidR="001E734A" w:rsidRPr="001D6E1B" w:rsidRDefault="005672DD" w:rsidP="003520B6">
            <w:pPr>
              <w:pStyle w:val="FRNumberedParagraph"/>
              <w:numPr>
                <w:ilvl w:val="0"/>
                <w:numId w:val="0"/>
              </w:numPr>
              <w:tabs>
                <w:tab w:val="left" w:pos="720"/>
              </w:tabs>
              <w:spacing w:before="120" w:after="120"/>
              <w:rPr>
                <w:rFonts w:asciiTheme="minorHAnsi" w:hAnsiTheme="minorHAnsi" w:cs="Times New Roman"/>
                <w:szCs w:val="20"/>
              </w:rPr>
            </w:pPr>
            <w:r w:rsidRPr="001D6E1B">
              <w:rPr>
                <w:rFonts w:asciiTheme="minorHAnsi" w:hAnsiTheme="minorHAnsi" w:cs="Times New Roman"/>
                <w:szCs w:val="20"/>
              </w:rPr>
              <w:t xml:space="preserve">The Committee notes the Commission has reported that the Government has agreed to implement most of the Commission’s recommendations contained in its </w:t>
            </w:r>
            <w:r w:rsidRPr="001D6E1B">
              <w:rPr>
                <w:rFonts w:asciiTheme="minorHAnsi" w:hAnsiTheme="minorHAnsi" w:cs="Times New Roman"/>
                <w:i/>
                <w:iCs/>
                <w:szCs w:val="20"/>
              </w:rPr>
              <w:t xml:space="preserve">Using land for housing </w:t>
            </w:r>
            <w:r w:rsidRPr="001D6E1B">
              <w:rPr>
                <w:rFonts w:asciiTheme="minorHAnsi" w:hAnsiTheme="minorHAnsi" w:cs="Times New Roman"/>
                <w:szCs w:val="20"/>
              </w:rPr>
              <w:t>report</w:t>
            </w:r>
            <w:r w:rsidRPr="001D6E1B">
              <w:rPr>
                <w:rFonts w:asciiTheme="minorHAnsi" w:hAnsiTheme="minorHAnsi" w:cs="Times New Roman"/>
                <w:i/>
                <w:iCs/>
                <w:szCs w:val="20"/>
              </w:rPr>
              <w:t>.</w:t>
            </w:r>
            <w:r w:rsidRPr="001D6E1B">
              <w:rPr>
                <w:rFonts w:asciiTheme="minorHAnsi" w:hAnsiTheme="minorHAnsi" w:cs="Times New Roman"/>
                <w:szCs w:val="20"/>
              </w:rPr>
              <w:t xml:space="preserve"> What were the more significant recommendations in the report, and how has the Government implemented them?</w:t>
            </w:r>
          </w:p>
        </w:tc>
        <w:tc>
          <w:tcPr>
            <w:tcW w:w="9563" w:type="dxa"/>
            <w:tcBorders>
              <w:top w:val="single" w:sz="4" w:space="0" w:color="auto"/>
              <w:left w:val="nil"/>
              <w:bottom w:val="single" w:sz="4" w:space="0" w:color="auto"/>
              <w:right w:val="single" w:sz="4" w:space="0" w:color="auto"/>
            </w:tcBorders>
            <w:shd w:val="clear" w:color="auto" w:fill="auto"/>
            <w:noWrap/>
          </w:tcPr>
          <w:p w14:paraId="5248FC0F" w14:textId="77777777" w:rsidR="00B937F5" w:rsidRPr="001D6E1B" w:rsidRDefault="00B937F5" w:rsidP="003520B6">
            <w:pPr>
              <w:pStyle w:val="BodyText"/>
              <w:spacing w:before="120" w:after="120" w:line="240" w:lineRule="auto"/>
              <w:rPr>
                <w:rFonts w:asciiTheme="minorHAnsi" w:eastAsia="Times New Roman" w:hAnsiTheme="minorHAnsi" w:cs="Calibri"/>
                <w:szCs w:val="20"/>
                <w:lang w:eastAsia="en-NZ"/>
              </w:rPr>
            </w:pPr>
            <w:r w:rsidRPr="001D6E1B">
              <w:rPr>
                <w:rFonts w:asciiTheme="minorHAnsi" w:eastAsia="Times New Roman" w:hAnsiTheme="minorHAnsi" w:cs="Calibri"/>
                <w:szCs w:val="20"/>
                <w:lang w:eastAsia="en-NZ"/>
              </w:rPr>
              <w:t>T</w:t>
            </w:r>
            <w:r w:rsidR="002207E0" w:rsidRPr="001D6E1B">
              <w:rPr>
                <w:rFonts w:asciiTheme="minorHAnsi" w:eastAsia="Times New Roman" w:hAnsiTheme="minorHAnsi" w:cs="Calibri"/>
                <w:szCs w:val="20"/>
                <w:lang w:eastAsia="en-NZ"/>
              </w:rPr>
              <w:t xml:space="preserve">he </w:t>
            </w:r>
            <w:r w:rsidR="00A83921" w:rsidRPr="001D6E1B">
              <w:rPr>
                <w:rFonts w:asciiTheme="minorHAnsi" w:eastAsia="Times New Roman" w:hAnsiTheme="minorHAnsi" w:cs="Calibri"/>
                <w:i/>
                <w:szCs w:val="20"/>
                <w:lang w:eastAsia="en-NZ"/>
              </w:rPr>
              <w:t>Using l</w:t>
            </w:r>
            <w:r w:rsidR="001D6E1B">
              <w:rPr>
                <w:rFonts w:asciiTheme="minorHAnsi" w:eastAsia="Times New Roman" w:hAnsiTheme="minorHAnsi" w:cs="Calibri"/>
                <w:i/>
                <w:szCs w:val="20"/>
                <w:lang w:eastAsia="en-NZ"/>
              </w:rPr>
              <w:t>and for h</w:t>
            </w:r>
            <w:r w:rsidR="002207E0" w:rsidRPr="001D6E1B">
              <w:rPr>
                <w:rFonts w:asciiTheme="minorHAnsi" w:eastAsia="Times New Roman" w:hAnsiTheme="minorHAnsi" w:cs="Calibri"/>
                <w:i/>
                <w:szCs w:val="20"/>
                <w:lang w:eastAsia="en-NZ"/>
              </w:rPr>
              <w:t xml:space="preserve">ousing </w:t>
            </w:r>
            <w:r w:rsidR="002207E0" w:rsidRPr="001D6E1B">
              <w:rPr>
                <w:rFonts w:asciiTheme="minorHAnsi" w:eastAsia="Times New Roman" w:hAnsiTheme="minorHAnsi" w:cs="Calibri"/>
                <w:szCs w:val="20"/>
                <w:lang w:eastAsia="en-NZ"/>
              </w:rPr>
              <w:t>inquiry final report</w:t>
            </w:r>
            <w:r w:rsidR="00796140" w:rsidRPr="001D6E1B">
              <w:rPr>
                <w:rFonts w:asciiTheme="minorHAnsi" w:eastAsia="Times New Roman" w:hAnsiTheme="minorHAnsi" w:cs="Calibri"/>
                <w:szCs w:val="20"/>
                <w:lang w:eastAsia="en-NZ"/>
              </w:rPr>
              <w:t xml:space="preserve"> </w:t>
            </w:r>
            <w:r w:rsidRPr="001D6E1B">
              <w:rPr>
                <w:rFonts w:asciiTheme="minorHAnsi" w:eastAsia="Times New Roman" w:hAnsiTheme="minorHAnsi" w:cs="Calibri"/>
                <w:szCs w:val="20"/>
                <w:lang w:eastAsia="en-NZ"/>
              </w:rPr>
              <w:t>contained a number of findings and recommendations t</w:t>
            </w:r>
            <w:r w:rsidR="00A83921" w:rsidRPr="001D6E1B">
              <w:rPr>
                <w:rFonts w:asciiTheme="minorHAnsi" w:eastAsia="Times New Roman" w:hAnsiTheme="minorHAnsi" w:cs="Calibri"/>
                <w:szCs w:val="20"/>
                <w:lang w:eastAsia="en-NZ"/>
              </w:rPr>
              <w:t xml:space="preserve">o </w:t>
            </w:r>
            <w:r w:rsidR="0090531F" w:rsidRPr="001D6E1B">
              <w:rPr>
                <w:rFonts w:asciiTheme="minorHAnsi" w:eastAsia="Times New Roman" w:hAnsiTheme="minorHAnsi" w:cs="Calibri"/>
                <w:szCs w:val="20"/>
                <w:lang w:eastAsia="en-NZ"/>
              </w:rPr>
              <w:t>i</w:t>
            </w:r>
            <w:r w:rsidRPr="001D6E1B">
              <w:rPr>
                <w:rFonts w:asciiTheme="minorHAnsi" w:eastAsia="Times New Roman" w:hAnsiTheme="minorHAnsi" w:cs="Calibri"/>
                <w:szCs w:val="20"/>
                <w:lang w:eastAsia="en-NZ"/>
              </w:rPr>
              <w:t>mprove</w:t>
            </w:r>
            <w:r w:rsidR="00A83921" w:rsidRPr="001D6E1B">
              <w:rPr>
                <w:rFonts w:asciiTheme="minorHAnsi" w:eastAsia="Times New Roman" w:hAnsiTheme="minorHAnsi" w:cs="Calibri"/>
                <w:szCs w:val="20"/>
                <w:lang w:eastAsia="en-NZ"/>
              </w:rPr>
              <w:t xml:space="preserve"> processes</w:t>
            </w:r>
            <w:r w:rsidR="0090531F" w:rsidRPr="001D6E1B">
              <w:rPr>
                <w:rFonts w:asciiTheme="minorHAnsi" w:eastAsia="Times New Roman" w:hAnsiTheme="minorHAnsi" w:cs="Calibri"/>
                <w:szCs w:val="20"/>
                <w:lang w:eastAsia="en-NZ"/>
              </w:rPr>
              <w:t xml:space="preserve"> used by Government and Councils to</w:t>
            </w:r>
            <w:r w:rsidR="00A83921" w:rsidRPr="001D6E1B">
              <w:rPr>
                <w:rFonts w:asciiTheme="minorHAnsi" w:eastAsia="Times New Roman" w:hAnsiTheme="minorHAnsi" w:cs="Calibri"/>
                <w:szCs w:val="20"/>
                <w:lang w:eastAsia="en-NZ"/>
              </w:rPr>
              <w:t xml:space="preserve"> provide land for housing</w:t>
            </w:r>
            <w:r w:rsidR="0090531F" w:rsidRPr="001D6E1B">
              <w:rPr>
                <w:rFonts w:asciiTheme="minorHAnsi" w:eastAsia="Times New Roman" w:hAnsiTheme="minorHAnsi" w:cs="Calibri"/>
                <w:szCs w:val="20"/>
                <w:lang w:eastAsia="en-NZ"/>
              </w:rPr>
              <w:t>, including</w:t>
            </w:r>
            <w:r w:rsidRPr="001D6E1B">
              <w:rPr>
                <w:rFonts w:asciiTheme="minorHAnsi" w:eastAsia="Times New Roman" w:hAnsiTheme="minorHAnsi" w:cs="Calibri"/>
                <w:szCs w:val="20"/>
                <w:lang w:eastAsia="en-NZ"/>
              </w:rPr>
              <w:t>:</w:t>
            </w:r>
          </w:p>
          <w:tbl>
            <w:tblPr>
              <w:tblStyle w:val="TableGrid"/>
              <w:tblW w:w="0" w:type="auto"/>
              <w:tblInd w:w="170" w:type="dxa"/>
              <w:tblLayout w:type="fixed"/>
              <w:tblLook w:val="04A0" w:firstRow="1" w:lastRow="0" w:firstColumn="1" w:lastColumn="0" w:noHBand="0" w:noVBand="1"/>
            </w:tblPr>
            <w:tblGrid>
              <w:gridCol w:w="3827"/>
              <w:gridCol w:w="5103"/>
            </w:tblGrid>
            <w:tr w:rsidR="00A83921" w:rsidRPr="001D6E1B" w14:paraId="5248FC12" w14:textId="77777777" w:rsidTr="004920E8">
              <w:tc>
                <w:tcPr>
                  <w:tcW w:w="3827" w:type="dxa"/>
                </w:tcPr>
                <w:p w14:paraId="5248FC10" w14:textId="77777777" w:rsidR="00A83921" w:rsidRPr="001D6E1B" w:rsidRDefault="00A83921" w:rsidP="003520B6">
                  <w:pPr>
                    <w:pStyle w:val="BodyText"/>
                    <w:spacing w:before="60" w:after="60" w:line="240" w:lineRule="auto"/>
                    <w:rPr>
                      <w:rFonts w:asciiTheme="minorHAnsi" w:eastAsia="Times New Roman" w:hAnsiTheme="minorHAnsi" w:cs="Calibri"/>
                      <w:sz w:val="18"/>
                      <w:szCs w:val="18"/>
                      <w:lang w:eastAsia="en-NZ"/>
                    </w:rPr>
                  </w:pPr>
                  <w:r w:rsidRPr="001D6E1B">
                    <w:rPr>
                      <w:rFonts w:asciiTheme="minorHAnsi" w:eastAsia="Times New Roman" w:hAnsiTheme="minorHAnsi" w:cs="Calibri"/>
                      <w:sz w:val="18"/>
                      <w:szCs w:val="18"/>
                      <w:lang w:eastAsia="en-NZ"/>
                    </w:rPr>
                    <w:t>Government should:</w:t>
                  </w:r>
                </w:p>
              </w:tc>
              <w:tc>
                <w:tcPr>
                  <w:tcW w:w="5103" w:type="dxa"/>
                </w:tcPr>
                <w:p w14:paraId="5248FC11" w14:textId="77777777" w:rsidR="00A83921" w:rsidRPr="001D6E1B" w:rsidRDefault="00A83921" w:rsidP="003520B6">
                  <w:pPr>
                    <w:pStyle w:val="BodyText"/>
                    <w:spacing w:before="60" w:after="60" w:line="240" w:lineRule="auto"/>
                    <w:rPr>
                      <w:rFonts w:asciiTheme="minorHAnsi" w:eastAsia="Times New Roman" w:hAnsiTheme="minorHAnsi" w:cs="Calibri"/>
                      <w:sz w:val="18"/>
                      <w:szCs w:val="18"/>
                      <w:lang w:eastAsia="en-NZ"/>
                    </w:rPr>
                  </w:pPr>
                  <w:r w:rsidRPr="001D6E1B">
                    <w:rPr>
                      <w:rFonts w:asciiTheme="minorHAnsi" w:eastAsia="Times New Roman" w:hAnsiTheme="minorHAnsi" w:cs="Calibri"/>
                      <w:sz w:val="18"/>
                      <w:szCs w:val="18"/>
                      <w:lang w:eastAsia="en-NZ"/>
                    </w:rPr>
                    <w:t>Councils should:</w:t>
                  </w:r>
                </w:p>
              </w:tc>
            </w:tr>
            <w:tr w:rsidR="00A83921" w:rsidRPr="001D6E1B" w14:paraId="5248FC15" w14:textId="77777777" w:rsidTr="004920E8">
              <w:tc>
                <w:tcPr>
                  <w:tcW w:w="3827" w:type="dxa"/>
                </w:tcPr>
                <w:p w14:paraId="5248FC13" w14:textId="77777777" w:rsidR="00A83921" w:rsidRPr="001D6E1B" w:rsidRDefault="00A83921" w:rsidP="001D6E1B">
                  <w:pPr>
                    <w:pStyle w:val="BodyText"/>
                    <w:numPr>
                      <w:ilvl w:val="0"/>
                      <w:numId w:val="4"/>
                    </w:numPr>
                    <w:spacing w:before="40" w:after="40" w:line="240" w:lineRule="auto"/>
                    <w:ind w:left="317" w:hanging="283"/>
                    <w:rPr>
                      <w:rFonts w:asciiTheme="minorHAnsi" w:eastAsia="Times New Roman" w:hAnsiTheme="minorHAnsi" w:cs="Calibri"/>
                      <w:sz w:val="18"/>
                      <w:szCs w:val="18"/>
                      <w:lang w:eastAsia="en-NZ"/>
                    </w:rPr>
                  </w:pPr>
                  <w:r w:rsidRPr="001D6E1B">
                    <w:rPr>
                      <w:rFonts w:asciiTheme="minorHAnsi" w:eastAsia="Times New Roman" w:hAnsiTheme="minorHAnsi" w:cs="Calibri"/>
                      <w:sz w:val="18"/>
                      <w:szCs w:val="18"/>
                      <w:lang w:eastAsia="en-NZ"/>
                    </w:rPr>
                    <w:t>Removal of barriers to the use of charges such as road tolls and congestion charges</w:t>
                  </w:r>
                </w:p>
              </w:tc>
              <w:tc>
                <w:tcPr>
                  <w:tcW w:w="5103" w:type="dxa"/>
                </w:tcPr>
                <w:p w14:paraId="5248FC14" w14:textId="77777777" w:rsidR="00A83921" w:rsidRPr="001D6E1B" w:rsidRDefault="00A83921" w:rsidP="001D6E1B">
                  <w:pPr>
                    <w:pStyle w:val="BodyText"/>
                    <w:numPr>
                      <w:ilvl w:val="0"/>
                      <w:numId w:val="4"/>
                    </w:numPr>
                    <w:spacing w:before="40" w:after="40" w:line="240" w:lineRule="auto"/>
                    <w:ind w:left="317" w:hanging="283"/>
                    <w:rPr>
                      <w:rFonts w:asciiTheme="minorHAnsi" w:eastAsia="Times New Roman" w:hAnsiTheme="minorHAnsi" w:cs="Calibri"/>
                      <w:sz w:val="18"/>
                      <w:szCs w:val="18"/>
                      <w:lang w:eastAsia="en-NZ"/>
                    </w:rPr>
                  </w:pPr>
                  <w:r w:rsidRPr="001D6E1B">
                    <w:rPr>
                      <w:rFonts w:asciiTheme="minorHAnsi" w:hAnsiTheme="minorHAnsi"/>
                      <w:sz w:val="18"/>
                      <w:szCs w:val="18"/>
                    </w:rPr>
                    <w:t>Make greater use of existing tools to fund growth such as targeted rates</w:t>
                  </w:r>
                </w:p>
              </w:tc>
            </w:tr>
            <w:tr w:rsidR="00A83921" w:rsidRPr="001D6E1B" w14:paraId="5248FC18" w14:textId="77777777" w:rsidTr="004920E8">
              <w:tc>
                <w:tcPr>
                  <w:tcW w:w="3827" w:type="dxa"/>
                </w:tcPr>
                <w:p w14:paraId="5248FC16" w14:textId="77777777" w:rsidR="00A83921" w:rsidRPr="001D6E1B" w:rsidRDefault="00A83921" w:rsidP="001D6E1B">
                  <w:pPr>
                    <w:pStyle w:val="BodyText"/>
                    <w:numPr>
                      <w:ilvl w:val="0"/>
                      <w:numId w:val="4"/>
                    </w:numPr>
                    <w:spacing w:before="40" w:after="40" w:line="240" w:lineRule="auto"/>
                    <w:ind w:left="317" w:hanging="283"/>
                    <w:rPr>
                      <w:rFonts w:asciiTheme="minorHAnsi" w:eastAsia="Times New Roman" w:hAnsiTheme="minorHAnsi" w:cs="Calibri"/>
                      <w:sz w:val="18"/>
                      <w:szCs w:val="18"/>
                      <w:lang w:eastAsia="en-NZ"/>
                    </w:rPr>
                  </w:pPr>
                  <w:r w:rsidRPr="001D6E1B">
                    <w:rPr>
                      <w:rFonts w:asciiTheme="minorHAnsi" w:eastAsia="Times New Roman" w:hAnsiTheme="minorHAnsi" w:cs="Calibri"/>
                      <w:sz w:val="18"/>
                      <w:szCs w:val="18"/>
                      <w:lang w:eastAsia="en-NZ"/>
                    </w:rPr>
                    <w:t>Removal of rates exemptions on some Crown-owned land</w:t>
                  </w:r>
                </w:p>
              </w:tc>
              <w:tc>
                <w:tcPr>
                  <w:tcW w:w="5103" w:type="dxa"/>
                </w:tcPr>
                <w:p w14:paraId="5248FC17" w14:textId="77777777" w:rsidR="00A83921" w:rsidRPr="001D6E1B" w:rsidRDefault="00A83921" w:rsidP="001D6E1B">
                  <w:pPr>
                    <w:pStyle w:val="BodyText"/>
                    <w:numPr>
                      <w:ilvl w:val="0"/>
                      <w:numId w:val="4"/>
                    </w:numPr>
                    <w:spacing w:before="40" w:after="40" w:line="240" w:lineRule="auto"/>
                    <w:ind w:left="317" w:hanging="283"/>
                    <w:rPr>
                      <w:rFonts w:asciiTheme="minorHAnsi" w:eastAsia="Times New Roman" w:hAnsiTheme="minorHAnsi" w:cs="Calibri"/>
                      <w:sz w:val="18"/>
                      <w:szCs w:val="18"/>
                      <w:lang w:eastAsia="en-NZ"/>
                    </w:rPr>
                  </w:pPr>
                  <w:r w:rsidRPr="001D6E1B">
                    <w:rPr>
                      <w:rFonts w:asciiTheme="minorHAnsi" w:hAnsiTheme="minorHAnsi"/>
                      <w:sz w:val="18"/>
                      <w:szCs w:val="18"/>
                    </w:rPr>
                    <w:t>Price infrastructure to recover costs from those who benefit (user pays)</w:t>
                  </w:r>
                </w:p>
              </w:tc>
            </w:tr>
            <w:tr w:rsidR="00A83921" w:rsidRPr="001D6E1B" w14:paraId="5248FC1B" w14:textId="77777777" w:rsidTr="004920E8">
              <w:tc>
                <w:tcPr>
                  <w:tcW w:w="3827" w:type="dxa"/>
                </w:tcPr>
                <w:p w14:paraId="5248FC19" w14:textId="77777777" w:rsidR="00A83921" w:rsidRPr="001D6E1B" w:rsidRDefault="00A83921" w:rsidP="001D6E1B">
                  <w:pPr>
                    <w:pStyle w:val="BodyText"/>
                    <w:numPr>
                      <w:ilvl w:val="0"/>
                      <w:numId w:val="4"/>
                    </w:numPr>
                    <w:spacing w:before="40" w:after="40" w:line="240" w:lineRule="auto"/>
                    <w:ind w:left="317" w:hanging="283"/>
                    <w:rPr>
                      <w:rFonts w:asciiTheme="minorHAnsi" w:eastAsia="Times New Roman" w:hAnsiTheme="minorHAnsi" w:cs="Calibri"/>
                      <w:sz w:val="18"/>
                      <w:szCs w:val="18"/>
                      <w:lang w:eastAsia="en-NZ"/>
                    </w:rPr>
                  </w:pPr>
                  <w:r w:rsidRPr="001D6E1B">
                    <w:rPr>
                      <w:rFonts w:asciiTheme="minorHAnsi" w:eastAsia="Times New Roman" w:hAnsiTheme="minorHAnsi" w:cs="Calibri"/>
                      <w:sz w:val="18"/>
                      <w:szCs w:val="18"/>
                      <w:lang w:eastAsia="en-NZ"/>
                    </w:rPr>
                    <w:t>Removal of barriers to contracting for water services</w:t>
                  </w:r>
                </w:p>
              </w:tc>
              <w:tc>
                <w:tcPr>
                  <w:tcW w:w="5103" w:type="dxa"/>
                </w:tcPr>
                <w:p w14:paraId="5248FC1A" w14:textId="77777777" w:rsidR="00A83921" w:rsidRPr="001D6E1B" w:rsidRDefault="00A83921" w:rsidP="001D6E1B">
                  <w:pPr>
                    <w:pStyle w:val="BodyText"/>
                    <w:numPr>
                      <w:ilvl w:val="0"/>
                      <w:numId w:val="4"/>
                    </w:numPr>
                    <w:spacing w:before="40" w:after="40" w:line="240" w:lineRule="auto"/>
                    <w:ind w:left="317" w:hanging="283"/>
                    <w:rPr>
                      <w:rFonts w:asciiTheme="minorHAnsi" w:eastAsia="Times New Roman" w:hAnsiTheme="minorHAnsi" w:cs="Calibri"/>
                      <w:sz w:val="18"/>
                      <w:szCs w:val="18"/>
                      <w:lang w:eastAsia="en-NZ"/>
                    </w:rPr>
                  </w:pPr>
                  <w:r w:rsidRPr="001D6E1B">
                    <w:rPr>
                      <w:rFonts w:asciiTheme="minorHAnsi" w:hAnsiTheme="minorHAnsi"/>
                      <w:sz w:val="18"/>
                      <w:szCs w:val="18"/>
                    </w:rPr>
                    <w:t>Better manage infrastructure and allow growth to occur where spare capacity exists</w:t>
                  </w:r>
                </w:p>
              </w:tc>
            </w:tr>
            <w:tr w:rsidR="00A83921" w:rsidRPr="001D6E1B" w14:paraId="5248FC1E" w14:textId="77777777" w:rsidTr="004920E8">
              <w:tc>
                <w:tcPr>
                  <w:tcW w:w="3827" w:type="dxa"/>
                </w:tcPr>
                <w:p w14:paraId="5248FC1C" w14:textId="77777777" w:rsidR="00A83921" w:rsidRPr="001D6E1B" w:rsidRDefault="00A83921" w:rsidP="001D6E1B">
                  <w:pPr>
                    <w:pStyle w:val="BodyText"/>
                    <w:numPr>
                      <w:ilvl w:val="0"/>
                      <w:numId w:val="4"/>
                    </w:numPr>
                    <w:spacing w:before="40" w:after="40" w:line="240" w:lineRule="auto"/>
                    <w:ind w:left="317" w:hanging="283"/>
                    <w:rPr>
                      <w:rFonts w:asciiTheme="minorHAnsi" w:eastAsia="Times New Roman" w:hAnsiTheme="minorHAnsi" w:cs="Calibri"/>
                      <w:sz w:val="18"/>
                      <w:szCs w:val="18"/>
                      <w:lang w:eastAsia="en-NZ"/>
                    </w:rPr>
                  </w:pPr>
                  <w:r w:rsidRPr="001D6E1B">
                    <w:rPr>
                      <w:rFonts w:asciiTheme="minorHAnsi" w:eastAsia="Times New Roman" w:hAnsiTheme="minorHAnsi" w:cs="Calibri"/>
                      <w:sz w:val="18"/>
                      <w:szCs w:val="18"/>
                      <w:lang w:eastAsia="en-NZ"/>
                    </w:rPr>
                    <w:t>Creating an inventory of Crown-owned land</w:t>
                  </w:r>
                </w:p>
              </w:tc>
              <w:tc>
                <w:tcPr>
                  <w:tcW w:w="5103" w:type="dxa"/>
                </w:tcPr>
                <w:p w14:paraId="5248FC1D" w14:textId="77777777" w:rsidR="00A83921" w:rsidRPr="001D6E1B" w:rsidRDefault="00A83921" w:rsidP="001D6E1B">
                  <w:pPr>
                    <w:pStyle w:val="BodyText"/>
                    <w:numPr>
                      <w:ilvl w:val="0"/>
                      <w:numId w:val="4"/>
                    </w:numPr>
                    <w:spacing w:before="40" w:after="40" w:line="240" w:lineRule="auto"/>
                    <w:ind w:left="317" w:hanging="283"/>
                    <w:rPr>
                      <w:rFonts w:asciiTheme="minorHAnsi" w:eastAsia="Times New Roman" w:hAnsiTheme="minorHAnsi" w:cs="Calibri"/>
                      <w:sz w:val="18"/>
                      <w:szCs w:val="18"/>
                      <w:lang w:eastAsia="en-NZ"/>
                    </w:rPr>
                  </w:pPr>
                  <w:r w:rsidRPr="001D6E1B">
                    <w:rPr>
                      <w:rFonts w:asciiTheme="minorHAnsi" w:hAnsiTheme="minorHAnsi"/>
                      <w:sz w:val="18"/>
                      <w:szCs w:val="18"/>
                    </w:rPr>
                    <w:t>Adopt rating systems that encourage the efficient use of land</w:t>
                  </w:r>
                </w:p>
              </w:tc>
            </w:tr>
            <w:tr w:rsidR="00A83921" w:rsidRPr="001D6E1B" w14:paraId="5248FC21" w14:textId="77777777" w:rsidTr="004920E8">
              <w:tc>
                <w:tcPr>
                  <w:tcW w:w="3827" w:type="dxa"/>
                </w:tcPr>
                <w:p w14:paraId="5248FC1F" w14:textId="77777777" w:rsidR="00A83921" w:rsidRPr="001D6E1B" w:rsidRDefault="00A83921" w:rsidP="001D6E1B">
                  <w:pPr>
                    <w:pStyle w:val="BodyText"/>
                    <w:numPr>
                      <w:ilvl w:val="0"/>
                      <w:numId w:val="4"/>
                    </w:numPr>
                    <w:spacing w:before="40" w:after="40" w:line="240" w:lineRule="auto"/>
                    <w:ind w:left="317" w:hanging="283"/>
                    <w:rPr>
                      <w:rFonts w:asciiTheme="minorHAnsi" w:eastAsia="Times New Roman" w:hAnsiTheme="minorHAnsi" w:cs="Calibri"/>
                      <w:sz w:val="18"/>
                      <w:szCs w:val="18"/>
                      <w:lang w:eastAsia="en-NZ"/>
                    </w:rPr>
                  </w:pPr>
                  <w:r w:rsidRPr="001D6E1B">
                    <w:rPr>
                      <w:rFonts w:asciiTheme="minorHAnsi" w:eastAsia="Times New Roman" w:hAnsiTheme="minorHAnsi" w:cs="Calibri"/>
                      <w:sz w:val="18"/>
                      <w:szCs w:val="18"/>
                      <w:lang w:eastAsia="en-NZ"/>
                    </w:rPr>
                    <w:t>Improving the Resource Management Act</w:t>
                  </w:r>
                </w:p>
              </w:tc>
              <w:tc>
                <w:tcPr>
                  <w:tcW w:w="5103" w:type="dxa"/>
                </w:tcPr>
                <w:p w14:paraId="5248FC20" w14:textId="77777777" w:rsidR="00A83921" w:rsidRPr="001D6E1B" w:rsidRDefault="00A83921" w:rsidP="001D6E1B">
                  <w:pPr>
                    <w:pStyle w:val="BodyText"/>
                    <w:numPr>
                      <w:ilvl w:val="0"/>
                      <w:numId w:val="4"/>
                    </w:numPr>
                    <w:spacing w:before="40" w:after="40" w:line="240" w:lineRule="auto"/>
                    <w:ind w:left="317" w:hanging="283"/>
                    <w:rPr>
                      <w:rFonts w:asciiTheme="minorHAnsi" w:eastAsia="Times New Roman" w:hAnsiTheme="minorHAnsi" w:cs="Calibri"/>
                      <w:sz w:val="18"/>
                      <w:szCs w:val="18"/>
                      <w:lang w:eastAsia="en-NZ"/>
                    </w:rPr>
                  </w:pPr>
                  <w:r w:rsidRPr="001D6E1B">
                    <w:rPr>
                      <w:rFonts w:asciiTheme="minorHAnsi" w:hAnsiTheme="minorHAnsi"/>
                      <w:sz w:val="18"/>
                      <w:szCs w:val="18"/>
                    </w:rPr>
                    <w:t>Ensure land use restrictions pass robust cost benefit tests</w:t>
                  </w:r>
                </w:p>
              </w:tc>
            </w:tr>
            <w:tr w:rsidR="00A83921" w:rsidRPr="001D6E1B" w14:paraId="5248FC24" w14:textId="77777777" w:rsidTr="004920E8">
              <w:tc>
                <w:tcPr>
                  <w:tcW w:w="3827" w:type="dxa"/>
                </w:tcPr>
                <w:p w14:paraId="5248FC22" w14:textId="77777777" w:rsidR="00A83921" w:rsidRPr="001D6E1B" w:rsidRDefault="00A83921" w:rsidP="001D6E1B">
                  <w:pPr>
                    <w:pStyle w:val="BodyText"/>
                    <w:numPr>
                      <w:ilvl w:val="0"/>
                      <w:numId w:val="4"/>
                    </w:numPr>
                    <w:spacing w:before="40" w:after="40" w:line="240" w:lineRule="auto"/>
                    <w:ind w:left="317" w:hanging="283"/>
                    <w:rPr>
                      <w:rFonts w:asciiTheme="minorHAnsi" w:eastAsia="Times New Roman" w:hAnsiTheme="minorHAnsi" w:cs="Calibri"/>
                      <w:sz w:val="18"/>
                      <w:szCs w:val="18"/>
                      <w:lang w:eastAsia="en-NZ"/>
                    </w:rPr>
                  </w:pPr>
                  <w:r w:rsidRPr="001D6E1B">
                    <w:rPr>
                      <w:rFonts w:asciiTheme="minorHAnsi" w:eastAsia="Times New Roman" w:hAnsiTheme="minorHAnsi" w:cs="Calibri"/>
                      <w:sz w:val="18"/>
                      <w:szCs w:val="18"/>
                      <w:lang w:eastAsia="en-NZ"/>
                    </w:rPr>
                    <w:t>Improving governance and performance benchmarking of infrastructure</w:t>
                  </w:r>
                </w:p>
              </w:tc>
              <w:tc>
                <w:tcPr>
                  <w:tcW w:w="5103" w:type="dxa"/>
                </w:tcPr>
                <w:p w14:paraId="5248FC23" w14:textId="77777777" w:rsidR="00A83921" w:rsidRPr="001D6E1B" w:rsidRDefault="00A83921" w:rsidP="001D6E1B">
                  <w:pPr>
                    <w:pStyle w:val="BodyText"/>
                    <w:numPr>
                      <w:ilvl w:val="0"/>
                      <w:numId w:val="4"/>
                    </w:numPr>
                    <w:spacing w:before="40" w:after="40" w:line="240" w:lineRule="auto"/>
                    <w:ind w:left="317" w:hanging="283"/>
                    <w:rPr>
                      <w:rFonts w:asciiTheme="minorHAnsi" w:eastAsia="Times New Roman" w:hAnsiTheme="minorHAnsi" w:cs="Calibri"/>
                      <w:sz w:val="18"/>
                      <w:szCs w:val="18"/>
                      <w:lang w:eastAsia="en-NZ"/>
                    </w:rPr>
                  </w:pPr>
                  <w:r w:rsidRPr="001D6E1B">
                    <w:rPr>
                      <w:rFonts w:asciiTheme="minorHAnsi" w:hAnsiTheme="minorHAnsi"/>
                      <w:sz w:val="18"/>
                      <w:szCs w:val="18"/>
                    </w:rPr>
                    <w:t>Ensure CCOs are aligned with plans for growth</w:t>
                  </w:r>
                </w:p>
              </w:tc>
            </w:tr>
          </w:tbl>
          <w:p w14:paraId="5248FC25" w14:textId="77777777" w:rsidR="00796140" w:rsidRPr="001D6E1B" w:rsidRDefault="00B937F5" w:rsidP="003520B6">
            <w:pPr>
              <w:pStyle w:val="BodyText"/>
              <w:spacing w:before="240" w:after="120" w:line="240" w:lineRule="auto"/>
              <w:rPr>
                <w:rFonts w:asciiTheme="minorHAnsi" w:hAnsiTheme="minorHAnsi"/>
                <w:szCs w:val="20"/>
              </w:rPr>
            </w:pPr>
            <w:r w:rsidRPr="001D6E1B">
              <w:rPr>
                <w:rFonts w:asciiTheme="minorHAnsi" w:hAnsiTheme="minorHAnsi"/>
                <w:szCs w:val="20"/>
              </w:rPr>
              <w:t>The Commission also identified areas where more fundamental change</w:t>
            </w:r>
            <w:r w:rsidR="0090531F" w:rsidRPr="001D6E1B">
              <w:rPr>
                <w:rFonts w:asciiTheme="minorHAnsi" w:hAnsiTheme="minorHAnsi"/>
                <w:szCs w:val="20"/>
              </w:rPr>
              <w:t xml:space="preserve"> i</w:t>
            </w:r>
            <w:r w:rsidRPr="001D6E1B">
              <w:rPr>
                <w:rFonts w:asciiTheme="minorHAnsi" w:hAnsiTheme="minorHAnsi"/>
                <w:szCs w:val="20"/>
              </w:rPr>
              <w:t>s needed</w:t>
            </w:r>
            <w:r w:rsidR="00D829AF" w:rsidRPr="001D6E1B">
              <w:rPr>
                <w:rFonts w:asciiTheme="minorHAnsi" w:hAnsiTheme="minorHAnsi"/>
                <w:szCs w:val="20"/>
              </w:rPr>
              <w:t>:</w:t>
            </w:r>
          </w:p>
          <w:p w14:paraId="5248FC26" w14:textId="77777777" w:rsidR="00796140" w:rsidRPr="001D6E1B" w:rsidRDefault="00796140" w:rsidP="003520B6">
            <w:pPr>
              <w:pStyle w:val="BodyText"/>
              <w:numPr>
                <w:ilvl w:val="0"/>
                <w:numId w:val="3"/>
              </w:numPr>
              <w:spacing w:before="120" w:after="120" w:line="240" w:lineRule="auto"/>
              <w:ind w:left="317" w:hanging="284"/>
              <w:rPr>
                <w:rFonts w:asciiTheme="minorHAnsi" w:hAnsiTheme="minorHAnsi"/>
                <w:szCs w:val="20"/>
              </w:rPr>
            </w:pPr>
            <w:r w:rsidRPr="001D6E1B">
              <w:rPr>
                <w:rFonts w:asciiTheme="minorHAnsi" w:hAnsiTheme="minorHAnsi"/>
                <w:i/>
                <w:szCs w:val="20"/>
              </w:rPr>
              <w:t>An overhaul of planning legislation</w:t>
            </w:r>
            <w:r w:rsidR="00B937F5" w:rsidRPr="001D6E1B">
              <w:rPr>
                <w:rFonts w:asciiTheme="minorHAnsi" w:hAnsiTheme="minorHAnsi"/>
                <w:szCs w:val="20"/>
              </w:rPr>
              <w:t>.</w:t>
            </w:r>
            <w:r w:rsidRPr="001D6E1B">
              <w:rPr>
                <w:rFonts w:asciiTheme="minorHAnsi" w:hAnsiTheme="minorHAnsi"/>
                <w:szCs w:val="20"/>
              </w:rPr>
              <w:t xml:space="preserve"> The current planning system gives insufficient attention to cities and housing and makes it hard to integrate decisions about land use, transport and infrastructure. A review of planning legislation is needed to reduce duplication, rationalise processes, and increase the system’s ability to respond to changes to demand. </w:t>
            </w:r>
          </w:p>
          <w:p w14:paraId="5248FC27" w14:textId="77777777" w:rsidR="00796140" w:rsidRPr="001D6E1B" w:rsidRDefault="00796140" w:rsidP="003520B6">
            <w:pPr>
              <w:pStyle w:val="BodyText"/>
              <w:numPr>
                <w:ilvl w:val="0"/>
                <w:numId w:val="3"/>
              </w:numPr>
              <w:spacing w:before="120" w:after="120" w:line="240" w:lineRule="auto"/>
              <w:ind w:left="317" w:hanging="284"/>
              <w:rPr>
                <w:rFonts w:asciiTheme="minorHAnsi" w:hAnsiTheme="minorHAnsi"/>
                <w:szCs w:val="20"/>
              </w:rPr>
            </w:pPr>
            <w:r w:rsidRPr="001D6E1B">
              <w:rPr>
                <w:rFonts w:asciiTheme="minorHAnsi" w:hAnsiTheme="minorHAnsi"/>
                <w:i/>
                <w:szCs w:val="20"/>
              </w:rPr>
              <w:t>Government should assist councils to develop inner-city sites</w:t>
            </w:r>
            <w:r w:rsidR="00B937F5" w:rsidRPr="001D6E1B">
              <w:rPr>
                <w:rFonts w:asciiTheme="minorHAnsi" w:hAnsiTheme="minorHAnsi"/>
                <w:szCs w:val="20"/>
              </w:rPr>
              <w:t>.</w:t>
            </w:r>
            <w:r w:rsidRPr="001D6E1B">
              <w:rPr>
                <w:rFonts w:asciiTheme="minorHAnsi" w:hAnsiTheme="minorHAnsi"/>
                <w:szCs w:val="20"/>
              </w:rPr>
              <w:t xml:space="preserve"> Some councils are establishing urban development authorities (UDAs) to pursue redevelopment of city centres. The Government should assign UDAs compulsory acquisition powers and streamlined planning processes, with Ministerial oversight.</w:t>
            </w:r>
          </w:p>
          <w:p w14:paraId="5248FC28" w14:textId="77777777" w:rsidR="00796140" w:rsidRPr="001D6E1B" w:rsidRDefault="00796140" w:rsidP="003520B6">
            <w:pPr>
              <w:pStyle w:val="BodyText"/>
              <w:numPr>
                <w:ilvl w:val="0"/>
                <w:numId w:val="3"/>
              </w:numPr>
              <w:spacing w:before="120" w:after="120" w:line="240" w:lineRule="auto"/>
              <w:ind w:left="317" w:hanging="284"/>
              <w:rPr>
                <w:rFonts w:asciiTheme="minorHAnsi" w:hAnsiTheme="minorHAnsi"/>
                <w:szCs w:val="20"/>
              </w:rPr>
            </w:pPr>
            <w:r w:rsidRPr="001D6E1B">
              <w:rPr>
                <w:rFonts w:asciiTheme="minorHAnsi" w:hAnsiTheme="minorHAnsi"/>
                <w:i/>
                <w:szCs w:val="20"/>
              </w:rPr>
              <w:lastRenderedPageBreak/>
              <w:t>Steps needed to ensure that councils make enough land available</w:t>
            </w:r>
            <w:r w:rsidR="00B937F5" w:rsidRPr="001D6E1B">
              <w:rPr>
                <w:rFonts w:asciiTheme="minorHAnsi" w:hAnsiTheme="minorHAnsi"/>
                <w:szCs w:val="20"/>
              </w:rPr>
              <w:t>.</w:t>
            </w:r>
            <w:r w:rsidRPr="001D6E1B">
              <w:rPr>
                <w:rFonts w:asciiTheme="minorHAnsi" w:hAnsiTheme="minorHAnsi"/>
                <w:szCs w:val="20"/>
              </w:rPr>
              <w:t xml:space="preserve"> Government should set a land price threshold, above which councils would be required to bring forward the release of greenfield land and service it with infrastructure</w:t>
            </w:r>
          </w:p>
          <w:p w14:paraId="5248FC29" w14:textId="77777777" w:rsidR="00796140" w:rsidRPr="001D6E1B" w:rsidRDefault="00796140" w:rsidP="003520B6">
            <w:pPr>
              <w:pStyle w:val="BodyText"/>
              <w:spacing w:before="120" w:after="120" w:line="240" w:lineRule="auto"/>
              <w:ind w:left="48"/>
              <w:rPr>
                <w:rFonts w:asciiTheme="minorHAnsi" w:hAnsiTheme="minorHAnsi"/>
                <w:szCs w:val="20"/>
              </w:rPr>
            </w:pPr>
            <w:r w:rsidRPr="001D6E1B">
              <w:rPr>
                <w:rFonts w:asciiTheme="minorHAnsi" w:hAnsiTheme="minorHAnsi"/>
                <w:szCs w:val="20"/>
              </w:rPr>
              <w:t>Government actions already taken in response to the report include developing a National Policy Statement (NPS) on Urban Development Capacity requiring local council to ensure land supply for housing keeps ahead of population and economic growth; creating a Housing Infrastructure Fund to address constraints faced by high growth councils by providing access to finance for core infrastructure needed to unlock residential development; and, developing urban development legislation for designated large-scale development anywhere in New Zealand.</w:t>
            </w:r>
          </w:p>
          <w:p w14:paraId="5248FC2A" w14:textId="77777777" w:rsidR="001E734A" w:rsidRPr="001D6E1B" w:rsidRDefault="00796140" w:rsidP="001D6E1B">
            <w:pPr>
              <w:pStyle w:val="BodyText"/>
              <w:spacing w:before="120" w:after="120" w:line="240" w:lineRule="auto"/>
              <w:rPr>
                <w:rFonts w:asciiTheme="minorHAnsi" w:eastAsia="Times New Roman" w:hAnsiTheme="minorHAnsi" w:cs="Calibri"/>
                <w:szCs w:val="20"/>
                <w:lang w:eastAsia="en-NZ"/>
              </w:rPr>
            </w:pPr>
            <w:r w:rsidRPr="001D6E1B">
              <w:rPr>
                <w:rFonts w:asciiTheme="minorHAnsi" w:hAnsiTheme="minorHAnsi"/>
                <w:szCs w:val="20"/>
              </w:rPr>
              <w:t xml:space="preserve">Following the </w:t>
            </w:r>
            <w:r w:rsidR="001D6E1B">
              <w:rPr>
                <w:rFonts w:asciiTheme="minorHAnsi" w:hAnsiTheme="minorHAnsi"/>
                <w:i/>
                <w:szCs w:val="20"/>
              </w:rPr>
              <w:t>Using land for h</w:t>
            </w:r>
            <w:r w:rsidRPr="001D6E1B">
              <w:rPr>
                <w:rFonts w:asciiTheme="minorHAnsi" w:hAnsiTheme="minorHAnsi"/>
                <w:i/>
                <w:szCs w:val="20"/>
              </w:rPr>
              <w:t xml:space="preserve">ousing </w:t>
            </w:r>
            <w:r w:rsidRPr="001D6E1B">
              <w:rPr>
                <w:rFonts w:asciiTheme="minorHAnsi" w:hAnsiTheme="minorHAnsi"/>
                <w:szCs w:val="20"/>
              </w:rPr>
              <w:t xml:space="preserve">inquiry the Government </w:t>
            </w:r>
            <w:r w:rsidRPr="001D6E1B">
              <w:rPr>
                <w:rFonts w:asciiTheme="minorHAnsi" w:hAnsiTheme="minorHAnsi"/>
                <w:szCs w:val="20"/>
                <w:lang w:eastAsia="en-NZ"/>
              </w:rPr>
              <w:t>asked the Commission to undertake a first-principles review of the New Zealand planning system (</w:t>
            </w:r>
            <w:r w:rsidR="00B937F5" w:rsidRPr="001D6E1B">
              <w:rPr>
                <w:rFonts w:asciiTheme="minorHAnsi" w:hAnsiTheme="minorHAnsi"/>
                <w:szCs w:val="20"/>
                <w:lang w:eastAsia="en-NZ"/>
              </w:rPr>
              <w:t xml:space="preserve">i.e. our current </w:t>
            </w:r>
            <w:r w:rsidRPr="001D6E1B">
              <w:rPr>
                <w:rFonts w:asciiTheme="minorHAnsi" w:hAnsiTheme="minorHAnsi"/>
                <w:i/>
                <w:iCs/>
                <w:szCs w:val="20"/>
                <w:lang w:eastAsia="en-NZ"/>
              </w:rPr>
              <w:t>Better urban planning inquiry</w:t>
            </w:r>
            <w:r w:rsidRPr="001D6E1B">
              <w:rPr>
                <w:rFonts w:asciiTheme="minorHAnsi" w:hAnsiTheme="minorHAnsi"/>
                <w:szCs w:val="20"/>
                <w:lang w:eastAsia="en-NZ"/>
              </w:rPr>
              <w:t>) and identify the most appropriate system for allocating land use to support desirable social, economic, environmental and cultural outcomes.</w:t>
            </w:r>
          </w:p>
        </w:tc>
      </w:tr>
      <w:tr w:rsidR="005672DD" w:rsidRPr="001D6E1B" w14:paraId="5248FC36" w14:textId="77777777" w:rsidTr="00683A52">
        <w:trPr>
          <w:trHeight w:val="642"/>
        </w:trPr>
        <w:tc>
          <w:tcPr>
            <w:tcW w:w="905" w:type="dxa"/>
            <w:tcBorders>
              <w:top w:val="single" w:sz="4" w:space="0" w:color="auto"/>
              <w:left w:val="single" w:sz="4" w:space="0" w:color="auto"/>
              <w:bottom w:val="single" w:sz="4" w:space="0" w:color="auto"/>
              <w:right w:val="single" w:sz="4" w:space="0" w:color="auto"/>
            </w:tcBorders>
            <w:shd w:val="clear" w:color="auto" w:fill="auto"/>
          </w:tcPr>
          <w:p w14:paraId="5248FC2C" w14:textId="77777777" w:rsidR="005672DD" w:rsidRPr="001D6E1B" w:rsidRDefault="005672DD" w:rsidP="005672DD">
            <w:pPr>
              <w:spacing w:before="120" w:after="120" w:line="240" w:lineRule="auto"/>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lastRenderedPageBreak/>
              <w:t>105</w:t>
            </w:r>
          </w:p>
        </w:tc>
        <w:tc>
          <w:tcPr>
            <w:tcW w:w="3402" w:type="dxa"/>
            <w:tcBorders>
              <w:top w:val="single" w:sz="4" w:space="0" w:color="auto"/>
              <w:left w:val="nil"/>
              <w:bottom w:val="single" w:sz="4" w:space="0" w:color="auto"/>
              <w:right w:val="single" w:sz="4" w:space="0" w:color="auto"/>
            </w:tcBorders>
            <w:shd w:val="clear" w:color="auto" w:fill="auto"/>
          </w:tcPr>
          <w:p w14:paraId="5248FC2D" w14:textId="77777777" w:rsidR="005672DD" w:rsidRPr="001D6E1B" w:rsidRDefault="005672DD" w:rsidP="005672DD">
            <w:pPr>
              <w:pStyle w:val="FRQuestionText"/>
              <w:spacing w:before="120" w:after="120"/>
              <w:ind w:right="238"/>
              <w:rPr>
                <w:rFonts w:asciiTheme="minorHAnsi" w:hAnsiTheme="minorHAnsi"/>
                <w:sz w:val="20"/>
                <w:szCs w:val="20"/>
              </w:rPr>
            </w:pPr>
            <w:r w:rsidRPr="001D6E1B">
              <w:rPr>
                <w:rFonts w:asciiTheme="minorHAnsi" w:hAnsiTheme="minorHAnsi"/>
                <w:sz w:val="20"/>
                <w:szCs w:val="20"/>
              </w:rPr>
              <w:t xml:space="preserve">The Committee notes that the Commission undertakes research each year into issues relating to productivity. </w:t>
            </w:r>
          </w:p>
          <w:p w14:paraId="5248FC2E" w14:textId="77777777" w:rsidR="005672DD" w:rsidRPr="001D6E1B" w:rsidRDefault="005672DD" w:rsidP="00362ECA">
            <w:pPr>
              <w:pStyle w:val="FRNumberedParagraph"/>
              <w:numPr>
                <w:ilvl w:val="0"/>
                <w:numId w:val="2"/>
              </w:numPr>
              <w:tabs>
                <w:tab w:val="left" w:pos="720"/>
              </w:tabs>
              <w:spacing w:before="120" w:after="120"/>
              <w:rPr>
                <w:rFonts w:asciiTheme="minorHAnsi" w:hAnsiTheme="minorHAnsi" w:cs="Times New Roman"/>
                <w:szCs w:val="20"/>
              </w:rPr>
            </w:pPr>
            <w:r w:rsidRPr="001D6E1B">
              <w:rPr>
                <w:rFonts w:asciiTheme="minorHAnsi" w:hAnsiTheme="minorHAnsi" w:cs="Times New Roman"/>
                <w:szCs w:val="20"/>
              </w:rPr>
              <w:t xml:space="preserve">What research work did the Commission undertake during the year? </w:t>
            </w:r>
          </w:p>
          <w:p w14:paraId="5248FC2F" w14:textId="77777777" w:rsidR="005672DD" w:rsidRPr="001D6E1B" w:rsidRDefault="005672DD" w:rsidP="00362ECA">
            <w:pPr>
              <w:pStyle w:val="FRNumberedParagraph"/>
              <w:numPr>
                <w:ilvl w:val="0"/>
                <w:numId w:val="2"/>
              </w:numPr>
              <w:tabs>
                <w:tab w:val="left" w:pos="720"/>
              </w:tabs>
              <w:spacing w:before="120" w:after="120"/>
              <w:rPr>
                <w:rFonts w:asciiTheme="minorHAnsi" w:hAnsiTheme="minorHAnsi" w:cs="Times New Roman"/>
                <w:szCs w:val="20"/>
              </w:rPr>
            </w:pPr>
            <w:r w:rsidRPr="001D6E1B">
              <w:rPr>
                <w:rFonts w:asciiTheme="minorHAnsi" w:hAnsiTheme="minorHAnsi" w:cs="Times New Roman"/>
                <w:szCs w:val="20"/>
              </w:rPr>
              <w:t>What lessons or insights did the work provide into New Zealand productivity issues?</w:t>
            </w:r>
          </w:p>
        </w:tc>
        <w:tc>
          <w:tcPr>
            <w:tcW w:w="9563" w:type="dxa"/>
            <w:tcBorders>
              <w:top w:val="single" w:sz="4" w:space="0" w:color="auto"/>
              <w:left w:val="nil"/>
              <w:bottom w:val="single" w:sz="4" w:space="0" w:color="auto"/>
              <w:right w:val="single" w:sz="4" w:space="0" w:color="auto"/>
            </w:tcBorders>
            <w:shd w:val="clear" w:color="auto" w:fill="auto"/>
            <w:noWrap/>
          </w:tcPr>
          <w:p w14:paraId="5248FC30" w14:textId="77777777" w:rsidR="001C7AB2" w:rsidRPr="001D6E1B" w:rsidRDefault="0090531F" w:rsidP="003520B6">
            <w:pPr>
              <w:spacing w:before="120" w:after="120" w:line="240" w:lineRule="auto"/>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t xml:space="preserve">For a specific list of </w:t>
            </w:r>
            <w:r w:rsidR="00F7579A">
              <w:rPr>
                <w:rFonts w:asciiTheme="minorHAnsi" w:eastAsia="Times New Roman" w:hAnsiTheme="minorHAnsi" w:cs="Calibri"/>
                <w:color w:val="000000"/>
                <w:szCs w:val="20"/>
                <w:lang w:eastAsia="en-NZ"/>
              </w:rPr>
              <w:t xml:space="preserve">research papers undertaken during 2015/16 </w:t>
            </w:r>
            <w:r w:rsidRPr="001D6E1B">
              <w:rPr>
                <w:rFonts w:asciiTheme="minorHAnsi" w:eastAsia="Times New Roman" w:hAnsiTheme="minorHAnsi" w:cs="Calibri"/>
                <w:color w:val="000000"/>
                <w:szCs w:val="20"/>
                <w:lang w:eastAsia="en-NZ"/>
              </w:rPr>
              <w:t>the</w:t>
            </w:r>
            <w:r w:rsidR="00FD4270" w:rsidRPr="001D6E1B">
              <w:rPr>
                <w:rFonts w:asciiTheme="minorHAnsi" w:eastAsia="Times New Roman" w:hAnsiTheme="minorHAnsi" w:cs="Calibri"/>
                <w:color w:val="000000"/>
                <w:szCs w:val="20"/>
                <w:lang w:eastAsia="en-NZ"/>
              </w:rPr>
              <w:t xml:space="preserve"> Committee is referred to the Commission’s Research page on its website</w:t>
            </w:r>
            <w:r w:rsidR="00CF205C" w:rsidRPr="001D6E1B">
              <w:rPr>
                <w:rFonts w:asciiTheme="minorHAnsi" w:eastAsia="Times New Roman" w:hAnsiTheme="minorHAnsi" w:cs="Calibri"/>
                <w:color w:val="000000"/>
                <w:szCs w:val="20"/>
                <w:lang w:eastAsia="en-NZ"/>
              </w:rPr>
              <w:t xml:space="preserve"> </w:t>
            </w:r>
            <w:r w:rsidRPr="001D6E1B">
              <w:rPr>
                <w:rFonts w:asciiTheme="minorHAnsi" w:eastAsia="Times New Roman" w:hAnsiTheme="minorHAnsi" w:cs="Calibri"/>
                <w:color w:val="000000"/>
                <w:szCs w:val="20"/>
                <w:lang w:eastAsia="en-NZ"/>
              </w:rPr>
              <w:t xml:space="preserve">– </w:t>
            </w:r>
            <w:hyperlink r:id="rId12" w:history="1">
              <w:r w:rsidR="004B0E77" w:rsidRPr="001D6E1B">
                <w:rPr>
                  <w:rStyle w:val="Hyperlink"/>
                  <w:rFonts w:asciiTheme="minorHAnsi" w:eastAsia="Times New Roman" w:hAnsiTheme="minorHAnsi" w:cs="Calibri"/>
                  <w:szCs w:val="20"/>
                  <w:lang w:eastAsia="en-NZ"/>
                </w:rPr>
                <w:t>http://www.productivity.govt.nz/research-papers-list</w:t>
              </w:r>
            </w:hyperlink>
            <w:r w:rsidR="001D6E1B">
              <w:rPr>
                <w:color w:val="000000"/>
              </w:rPr>
              <w:t xml:space="preserve">. </w:t>
            </w:r>
            <w:r w:rsidR="001C7AB2" w:rsidRPr="001D6E1B">
              <w:rPr>
                <w:rFonts w:asciiTheme="minorHAnsi" w:eastAsia="Times New Roman" w:hAnsiTheme="minorHAnsi" w:cs="Calibri"/>
                <w:color w:val="000000"/>
                <w:szCs w:val="20"/>
                <w:lang w:eastAsia="en-NZ"/>
              </w:rPr>
              <w:t xml:space="preserve">Key lessons </w:t>
            </w:r>
            <w:r w:rsidR="00CF205C" w:rsidRPr="001D6E1B">
              <w:rPr>
                <w:rFonts w:asciiTheme="minorHAnsi" w:eastAsia="Times New Roman" w:hAnsiTheme="minorHAnsi" w:cs="Calibri"/>
                <w:color w:val="000000"/>
                <w:szCs w:val="20"/>
                <w:lang w:eastAsia="en-NZ"/>
              </w:rPr>
              <w:t>or insights</w:t>
            </w:r>
            <w:r w:rsidR="00ED4809" w:rsidRPr="001D6E1B">
              <w:rPr>
                <w:rFonts w:asciiTheme="minorHAnsi" w:eastAsia="Times New Roman" w:hAnsiTheme="minorHAnsi" w:cs="Calibri"/>
                <w:color w:val="000000"/>
                <w:szCs w:val="20"/>
                <w:lang w:eastAsia="en-NZ"/>
              </w:rPr>
              <w:t xml:space="preserve"> gained into New Zealand productivity issues</w:t>
            </w:r>
            <w:r w:rsidR="001C7AB2" w:rsidRPr="001D6E1B">
              <w:rPr>
                <w:rFonts w:asciiTheme="minorHAnsi" w:eastAsia="Times New Roman" w:hAnsiTheme="minorHAnsi" w:cs="Calibri"/>
                <w:color w:val="000000"/>
                <w:szCs w:val="20"/>
                <w:lang w:eastAsia="en-NZ"/>
              </w:rPr>
              <w:t xml:space="preserve"> from our research work programme in 2015/16</w:t>
            </w:r>
            <w:r w:rsidR="00ED4809" w:rsidRPr="001D6E1B">
              <w:rPr>
                <w:rFonts w:asciiTheme="minorHAnsi" w:eastAsia="Times New Roman" w:hAnsiTheme="minorHAnsi" w:cs="Calibri"/>
                <w:color w:val="000000"/>
                <w:szCs w:val="20"/>
                <w:lang w:eastAsia="en-NZ"/>
              </w:rPr>
              <w:t xml:space="preserve"> includ</w:t>
            </w:r>
            <w:r w:rsidR="001C7AB2" w:rsidRPr="001D6E1B">
              <w:rPr>
                <w:rFonts w:asciiTheme="minorHAnsi" w:eastAsia="Times New Roman" w:hAnsiTheme="minorHAnsi" w:cs="Calibri"/>
                <w:color w:val="000000"/>
                <w:szCs w:val="20"/>
                <w:lang w:eastAsia="en-NZ"/>
              </w:rPr>
              <w:t>e:</w:t>
            </w:r>
          </w:p>
          <w:p w14:paraId="5248FC31" w14:textId="77777777" w:rsidR="001C7AB2" w:rsidRPr="001D6E1B" w:rsidRDefault="003520B6" w:rsidP="003520B6">
            <w:pPr>
              <w:pStyle w:val="BodyText"/>
              <w:numPr>
                <w:ilvl w:val="0"/>
                <w:numId w:val="5"/>
              </w:numPr>
              <w:spacing w:before="120" w:after="120" w:line="240" w:lineRule="auto"/>
              <w:ind w:left="317" w:hanging="284"/>
              <w:rPr>
                <w:rFonts w:asciiTheme="minorHAnsi" w:hAnsiTheme="minorHAnsi"/>
                <w:szCs w:val="20"/>
              </w:rPr>
            </w:pPr>
            <w:r w:rsidRPr="001D6E1B">
              <w:rPr>
                <w:rFonts w:asciiTheme="minorHAnsi" w:hAnsiTheme="minorHAnsi"/>
                <w:szCs w:val="20"/>
              </w:rPr>
              <w:t xml:space="preserve">A </w:t>
            </w:r>
            <w:r w:rsidR="001C7AB2" w:rsidRPr="001D6E1B">
              <w:rPr>
                <w:rFonts w:asciiTheme="minorHAnsi" w:hAnsiTheme="minorHAnsi"/>
                <w:szCs w:val="20"/>
              </w:rPr>
              <w:t xml:space="preserve">need to shift from a development model based on working more hours per person to one focused on generating more value from time spent at work. With labour force participation forecast to decline with population ageing, the focus now needs to go on lifting productivity. </w:t>
            </w:r>
          </w:p>
          <w:p w14:paraId="5248FC32" w14:textId="77777777" w:rsidR="001C7AB2" w:rsidRPr="001D6E1B" w:rsidRDefault="001C7AB2" w:rsidP="003520B6">
            <w:pPr>
              <w:pStyle w:val="BodyText"/>
              <w:numPr>
                <w:ilvl w:val="0"/>
                <w:numId w:val="5"/>
              </w:numPr>
              <w:spacing w:before="120" w:after="120" w:line="240" w:lineRule="auto"/>
              <w:ind w:left="317" w:hanging="284"/>
              <w:rPr>
                <w:rFonts w:asciiTheme="minorHAnsi" w:hAnsiTheme="minorHAnsi"/>
                <w:szCs w:val="20"/>
              </w:rPr>
            </w:pPr>
            <w:r w:rsidRPr="001D6E1B">
              <w:rPr>
                <w:rFonts w:asciiTheme="minorHAnsi" w:hAnsiTheme="minorHAnsi"/>
                <w:szCs w:val="20"/>
              </w:rPr>
              <w:t xml:space="preserve">New Zealand’s persistently weak labour productivity performance can be traced to the impact of small and insular markets; low capital per worker, weak international connectivity and weak investment in knowledge-based assets. </w:t>
            </w:r>
          </w:p>
          <w:p w14:paraId="5248FC33" w14:textId="77777777" w:rsidR="001C7AB2" w:rsidRPr="001D6E1B" w:rsidRDefault="001C7AB2" w:rsidP="003520B6">
            <w:pPr>
              <w:pStyle w:val="BodyText"/>
              <w:numPr>
                <w:ilvl w:val="0"/>
                <w:numId w:val="5"/>
              </w:numPr>
              <w:spacing w:before="120" w:after="120" w:line="240" w:lineRule="auto"/>
              <w:ind w:left="317" w:hanging="284"/>
              <w:rPr>
                <w:rFonts w:asciiTheme="minorHAnsi" w:hAnsiTheme="minorHAnsi"/>
                <w:szCs w:val="20"/>
              </w:rPr>
            </w:pPr>
            <w:r w:rsidRPr="001D6E1B">
              <w:rPr>
                <w:rFonts w:asciiTheme="minorHAnsi" w:hAnsiTheme="minorHAnsi"/>
                <w:szCs w:val="20"/>
              </w:rPr>
              <w:t>On the basis of this diagnosis, policy reform that would help improve long-run growth in productivity and incomes is required</w:t>
            </w:r>
            <w:r w:rsidR="003520B6" w:rsidRPr="001D6E1B">
              <w:rPr>
                <w:rFonts w:asciiTheme="minorHAnsi" w:hAnsiTheme="minorHAnsi"/>
                <w:szCs w:val="20"/>
              </w:rPr>
              <w:t>.</w:t>
            </w:r>
          </w:p>
          <w:p w14:paraId="5248FC34" w14:textId="77777777" w:rsidR="001C7AB2" w:rsidRPr="001D6E1B" w:rsidRDefault="001C7AB2" w:rsidP="003520B6">
            <w:pPr>
              <w:pStyle w:val="BodyText"/>
              <w:numPr>
                <w:ilvl w:val="0"/>
                <w:numId w:val="5"/>
              </w:numPr>
              <w:spacing w:before="120" w:after="120" w:line="240" w:lineRule="auto"/>
              <w:ind w:left="317" w:hanging="284"/>
              <w:rPr>
                <w:rFonts w:asciiTheme="minorHAnsi" w:hAnsiTheme="minorHAnsi"/>
                <w:szCs w:val="20"/>
              </w:rPr>
            </w:pPr>
            <w:r w:rsidRPr="001D6E1B">
              <w:rPr>
                <w:rFonts w:asciiTheme="minorHAnsi" w:hAnsiTheme="minorHAnsi"/>
                <w:szCs w:val="20"/>
              </w:rPr>
              <w:t xml:space="preserve">Making the most of these new opportunities implies a reform agenda focused on skills, flexibility, openness and receptiveness to new technology. In addition to these important new challenges, some perennial concerns also remain. For example, how can policy facilitate scale and competition in a small and remote economy to improve resource allocation across firms? </w:t>
            </w:r>
          </w:p>
          <w:p w14:paraId="5248FC35" w14:textId="77777777" w:rsidR="00883175" w:rsidRPr="001D6E1B" w:rsidRDefault="001C7AB2" w:rsidP="003520B6">
            <w:pPr>
              <w:spacing w:before="120" w:after="120" w:line="240" w:lineRule="auto"/>
              <w:rPr>
                <w:rFonts w:asciiTheme="minorHAnsi" w:hAnsiTheme="minorHAnsi"/>
                <w:szCs w:val="20"/>
              </w:rPr>
            </w:pPr>
            <w:r w:rsidRPr="001D6E1B">
              <w:rPr>
                <w:rFonts w:asciiTheme="minorHAnsi" w:eastAsia="Times New Roman" w:hAnsiTheme="minorHAnsi" w:cs="Calibri"/>
                <w:color w:val="000000"/>
                <w:szCs w:val="20"/>
                <w:lang w:eastAsia="en-NZ"/>
              </w:rPr>
              <w:t xml:space="preserve">For an independent assessment of our 2015/16 research work programme the Committee is referred to the report prepared by </w:t>
            </w:r>
            <w:r w:rsidR="00CF205C" w:rsidRPr="001D6E1B">
              <w:rPr>
                <w:rFonts w:asciiTheme="minorHAnsi" w:eastAsia="Times New Roman" w:hAnsiTheme="minorHAnsi" w:cs="Calibri"/>
                <w:color w:val="000000"/>
                <w:szCs w:val="20"/>
                <w:lang w:eastAsia="en-NZ"/>
              </w:rPr>
              <w:t xml:space="preserve">John Yeabsley a Senior Fellow at the New Zealand Institute of Economic Research – </w:t>
            </w:r>
            <w:hyperlink r:id="rId13" w:history="1">
              <w:r w:rsidR="00883175" w:rsidRPr="001D6E1B">
                <w:rPr>
                  <w:rStyle w:val="Hyperlink"/>
                  <w:rFonts w:asciiTheme="minorHAnsi" w:hAnsiTheme="minorHAnsi"/>
                  <w:szCs w:val="20"/>
                </w:rPr>
                <w:t>http://www.productivity.govt.nz/sites/default/files/Research%20function%20evalutaion%20September%202016%20PDF%201436Kb%20%28002%29.pdf</w:t>
              </w:r>
            </w:hyperlink>
          </w:p>
        </w:tc>
      </w:tr>
      <w:tr w:rsidR="005672DD" w:rsidRPr="001D6E1B" w14:paraId="5248FC3D" w14:textId="77777777" w:rsidTr="00683A52">
        <w:trPr>
          <w:trHeight w:val="642"/>
        </w:trPr>
        <w:tc>
          <w:tcPr>
            <w:tcW w:w="905" w:type="dxa"/>
            <w:tcBorders>
              <w:top w:val="single" w:sz="4" w:space="0" w:color="auto"/>
              <w:left w:val="single" w:sz="4" w:space="0" w:color="auto"/>
              <w:bottom w:val="single" w:sz="4" w:space="0" w:color="auto"/>
              <w:right w:val="single" w:sz="4" w:space="0" w:color="auto"/>
            </w:tcBorders>
            <w:shd w:val="clear" w:color="auto" w:fill="auto"/>
          </w:tcPr>
          <w:p w14:paraId="5248FC37" w14:textId="77777777" w:rsidR="005672DD" w:rsidRPr="001D6E1B" w:rsidRDefault="005672DD" w:rsidP="005672DD">
            <w:pPr>
              <w:spacing w:before="120" w:after="120" w:line="240" w:lineRule="auto"/>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lastRenderedPageBreak/>
              <w:t>106</w:t>
            </w:r>
          </w:p>
        </w:tc>
        <w:tc>
          <w:tcPr>
            <w:tcW w:w="3402" w:type="dxa"/>
            <w:tcBorders>
              <w:top w:val="single" w:sz="4" w:space="0" w:color="auto"/>
              <w:left w:val="nil"/>
              <w:bottom w:val="single" w:sz="4" w:space="0" w:color="auto"/>
              <w:right w:val="single" w:sz="4" w:space="0" w:color="auto"/>
            </w:tcBorders>
            <w:shd w:val="clear" w:color="auto" w:fill="auto"/>
          </w:tcPr>
          <w:p w14:paraId="5248FC38" w14:textId="77777777" w:rsidR="005672DD" w:rsidRPr="001D6E1B" w:rsidRDefault="005672DD" w:rsidP="005672DD">
            <w:pPr>
              <w:pStyle w:val="FRQuestionText"/>
              <w:spacing w:before="120" w:after="120"/>
              <w:ind w:right="238"/>
              <w:rPr>
                <w:rFonts w:asciiTheme="minorHAnsi" w:hAnsiTheme="minorHAnsi"/>
                <w:sz w:val="20"/>
                <w:szCs w:val="20"/>
              </w:rPr>
            </w:pPr>
            <w:r w:rsidRPr="001D6E1B">
              <w:rPr>
                <w:rFonts w:asciiTheme="minorHAnsi" w:hAnsiTheme="minorHAnsi"/>
                <w:sz w:val="20"/>
                <w:szCs w:val="20"/>
              </w:rPr>
              <w:t xml:space="preserve">The Committee notes that the Commission is currently working on a Productivity Narrative. </w:t>
            </w:r>
          </w:p>
          <w:p w14:paraId="5248FC39" w14:textId="77777777" w:rsidR="005672DD" w:rsidRPr="001D6E1B" w:rsidRDefault="005672DD" w:rsidP="00362ECA">
            <w:pPr>
              <w:pStyle w:val="FRNumberedParagraph"/>
              <w:numPr>
                <w:ilvl w:val="0"/>
                <w:numId w:val="2"/>
              </w:numPr>
              <w:tabs>
                <w:tab w:val="left" w:pos="720"/>
              </w:tabs>
              <w:spacing w:before="120" w:after="120"/>
              <w:rPr>
                <w:rFonts w:asciiTheme="minorHAnsi" w:hAnsiTheme="minorHAnsi" w:cs="Times New Roman"/>
                <w:szCs w:val="20"/>
              </w:rPr>
            </w:pPr>
            <w:r w:rsidRPr="001D6E1B">
              <w:rPr>
                <w:rFonts w:asciiTheme="minorHAnsi" w:hAnsiTheme="minorHAnsi" w:cs="Times New Roman"/>
                <w:szCs w:val="20"/>
              </w:rPr>
              <w:t>When will the narrative be finalised?</w:t>
            </w:r>
          </w:p>
          <w:p w14:paraId="5248FC3A" w14:textId="77777777" w:rsidR="005672DD" w:rsidRPr="001D6E1B" w:rsidRDefault="005672DD" w:rsidP="00362ECA">
            <w:pPr>
              <w:pStyle w:val="FRNumberedParagraph"/>
              <w:numPr>
                <w:ilvl w:val="0"/>
                <w:numId w:val="2"/>
              </w:numPr>
              <w:tabs>
                <w:tab w:val="left" w:pos="720"/>
              </w:tabs>
              <w:spacing w:before="120" w:after="120"/>
              <w:rPr>
                <w:rFonts w:asciiTheme="minorHAnsi" w:hAnsiTheme="minorHAnsi" w:cs="Times New Roman"/>
                <w:szCs w:val="20"/>
              </w:rPr>
            </w:pPr>
            <w:r w:rsidRPr="001D6E1B">
              <w:rPr>
                <w:rFonts w:asciiTheme="minorHAnsi" w:hAnsiTheme="minorHAnsi" w:cs="Times New Roman"/>
                <w:szCs w:val="20"/>
              </w:rPr>
              <w:t>How will the Commission use the findings of the narrative?</w:t>
            </w:r>
          </w:p>
        </w:tc>
        <w:tc>
          <w:tcPr>
            <w:tcW w:w="9563" w:type="dxa"/>
            <w:tcBorders>
              <w:top w:val="single" w:sz="4" w:space="0" w:color="auto"/>
              <w:left w:val="nil"/>
              <w:bottom w:val="single" w:sz="4" w:space="0" w:color="auto"/>
              <w:right w:val="single" w:sz="4" w:space="0" w:color="auto"/>
            </w:tcBorders>
            <w:shd w:val="clear" w:color="auto" w:fill="auto"/>
            <w:noWrap/>
          </w:tcPr>
          <w:p w14:paraId="5248FC3B" w14:textId="77777777" w:rsidR="00CF205C" w:rsidRPr="001D6E1B" w:rsidRDefault="00CF205C" w:rsidP="009360A4">
            <w:pPr>
              <w:spacing w:before="120" w:after="120" w:line="240" w:lineRule="auto"/>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t>The P</w:t>
            </w:r>
            <w:r w:rsidR="009360A4" w:rsidRPr="001D6E1B">
              <w:rPr>
                <w:rFonts w:asciiTheme="minorHAnsi" w:eastAsia="Times New Roman" w:hAnsiTheme="minorHAnsi" w:cs="Calibri"/>
                <w:color w:val="000000"/>
                <w:szCs w:val="20"/>
                <w:lang w:eastAsia="en-NZ"/>
              </w:rPr>
              <w:t>roductivity Narrative was published in November 2016</w:t>
            </w:r>
            <w:r w:rsidRPr="001D6E1B">
              <w:rPr>
                <w:rFonts w:asciiTheme="minorHAnsi" w:eastAsia="Times New Roman" w:hAnsiTheme="minorHAnsi" w:cs="Calibri"/>
                <w:color w:val="000000"/>
                <w:szCs w:val="20"/>
                <w:lang w:eastAsia="en-NZ"/>
              </w:rPr>
              <w:t xml:space="preserve"> as a Research paper entitled</w:t>
            </w:r>
            <w:r w:rsidR="009360A4" w:rsidRPr="001D6E1B">
              <w:rPr>
                <w:rFonts w:asciiTheme="minorHAnsi" w:eastAsia="Times New Roman" w:hAnsiTheme="minorHAnsi" w:cs="Calibri"/>
                <w:color w:val="000000"/>
                <w:szCs w:val="20"/>
                <w:lang w:eastAsia="en-NZ"/>
              </w:rPr>
              <w:t xml:space="preserve">, </w:t>
            </w:r>
            <w:r w:rsidR="009360A4" w:rsidRPr="001D6E1B">
              <w:rPr>
                <w:rFonts w:asciiTheme="minorHAnsi" w:eastAsia="Times New Roman" w:hAnsiTheme="minorHAnsi" w:cs="Calibri"/>
                <w:i/>
                <w:color w:val="000000"/>
                <w:szCs w:val="20"/>
                <w:lang w:eastAsia="en-NZ"/>
              </w:rPr>
              <w:t>Achieving New Zealand’s productivity potential</w:t>
            </w:r>
            <w:r w:rsidR="003520B6" w:rsidRPr="001D6E1B">
              <w:rPr>
                <w:rFonts w:asciiTheme="minorHAnsi" w:eastAsia="Times New Roman" w:hAnsiTheme="minorHAnsi" w:cs="Calibri"/>
                <w:color w:val="000000"/>
                <w:szCs w:val="20"/>
                <w:lang w:eastAsia="en-NZ"/>
              </w:rPr>
              <w:t xml:space="preserve"> and is available to the Committee at the following web link - </w:t>
            </w:r>
            <w:hyperlink r:id="rId14" w:history="1">
              <w:r w:rsidR="003520B6" w:rsidRPr="001D6E1B">
                <w:rPr>
                  <w:rStyle w:val="Hyperlink"/>
                  <w:rFonts w:asciiTheme="minorHAnsi" w:eastAsia="Times New Roman" w:hAnsiTheme="minorHAnsi" w:cs="Calibri"/>
                  <w:szCs w:val="20"/>
                  <w:lang w:eastAsia="en-NZ"/>
                </w:rPr>
                <w:t>http://www.productivity.govt.nz/research-paper/achieving-new-zealands-productivity-potential</w:t>
              </w:r>
            </w:hyperlink>
          </w:p>
          <w:p w14:paraId="5248FC3C" w14:textId="77777777" w:rsidR="005672DD" w:rsidRPr="001D6E1B" w:rsidRDefault="00152DC1" w:rsidP="003520B6">
            <w:pPr>
              <w:spacing w:before="120" w:after="120" w:line="240" w:lineRule="auto"/>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t>The paper is an invaluable tool to support public engagement in discussing New Zealand’s productivity challenges – particularly in regar</w:t>
            </w:r>
            <w:r w:rsidR="00883175" w:rsidRPr="001D6E1B">
              <w:rPr>
                <w:rFonts w:asciiTheme="minorHAnsi" w:eastAsia="Times New Roman" w:hAnsiTheme="minorHAnsi" w:cs="Calibri"/>
                <w:color w:val="000000"/>
                <w:szCs w:val="20"/>
                <w:lang w:eastAsia="en-NZ"/>
              </w:rPr>
              <w:t>d to policy direction and to</w:t>
            </w:r>
            <w:r w:rsidRPr="001D6E1B">
              <w:rPr>
                <w:rFonts w:asciiTheme="minorHAnsi" w:eastAsia="Times New Roman" w:hAnsiTheme="minorHAnsi" w:cs="Calibri"/>
                <w:color w:val="000000"/>
                <w:szCs w:val="20"/>
                <w:lang w:eastAsia="en-NZ"/>
              </w:rPr>
              <w:t xml:space="preserve"> guid</w:t>
            </w:r>
            <w:r w:rsidR="00883175" w:rsidRPr="001D6E1B">
              <w:rPr>
                <w:rFonts w:asciiTheme="minorHAnsi" w:eastAsia="Times New Roman" w:hAnsiTheme="minorHAnsi" w:cs="Calibri"/>
                <w:color w:val="000000"/>
                <w:szCs w:val="20"/>
                <w:lang w:eastAsia="en-NZ"/>
              </w:rPr>
              <w:t>e</w:t>
            </w:r>
            <w:r w:rsidRPr="001D6E1B">
              <w:rPr>
                <w:rFonts w:asciiTheme="minorHAnsi" w:eastAsia="Times New Roman" w:hAnsiTheme="minorHAnsi" w:cs="Calibri"/>
                <w:color w:val="000000"/>
                <w:szCs w:val="20"/>
                <w:lang w:eastAsia="en-NZ"/>
              </w:rPr>
              <w:t xml:space="preserve"> future research priorities. A key objective is to move discussions beyond simply identifying problems to identifying policy changes that could be most effective in lift</w:t>
            </w:r>
            <w:r w:rsidR="003267CB" w:rsidRPr="001D6E1B">
              <w:rPr>
                <w:rFonts w:asciiTheme="minorHAnsi" w:eastAsia="Times New Roman" w:hAnsiTheme="minorHAnsi" w:cs="Calibri"/>
                <w:color w:val="000000"/>
                <w:szCs w:val="20"/>
                <w:lang w:eastAsia="en-NZ"/>
              </w:rPr>
              <w:t>ing</w:t>
            </w:r>
            <w:r w:rsidRPr="001D6E1B">
              <w:rPr>
                <w:rFonts w:asciiTheme="minorHAnsi" w:eastAsia="Times New Roman" w:hAnsiTheme="minorHAnsi" w:cs="Calibri"/>
                <w:color w:val="000000"/>
                <w:szCs w:val="20"/>
                <w:lang w:eastAsia="en-NZ"/>
              </w:rPr>
              <w:t xml:space="preserve"> New Zealand’s productivity and the trade-offs involved in these changes.</w:t>
            </w:r>
          </w:p>
        </w:tc>
      </w:tr>
      <w:tr w:rsidR="005672DD" w:rsidRPr="001D6E1B" w14:paraId="5248FC46" w14:textId="77777777" w:rsidTr="00683A52">
        <w:trPr>
          <w:trHeight w:val="642"/>
        </w:trPr>
        <w:tc>
          <w:tcPr>
            <w:tcW w:w="905" w:type="dxa"/>
            <w:tcBorders>
              <w:top w:val="single" w:sz="4" w:space="0" w:color="auto"/>
              <w:left w:val="single" w:sz="4" w:space="0" w:color="auto"/>
              <w:bottom w:val="single" w:sz="4" w:space="0" w:color="auto"/>
              <w:right w:val="single" w:sz="4" w:space="0" w:color="auto"/>
            </w:tcBorders>
            <w:shd w:val="clear" w:color="auto" w:fill="auto"/>
          </w:tcPr>
          <w:p w14:paraId="5248FC3E" w14:textId="77777777" w:rsidR="005672DD" w:rsidRPr="001D6E1B" w:rsidRDefault="005672DD" w:rsidP="005672DD">
            <w:pPr>
              <w:spacing w:before="120" w:after="120" w:line="240" w:lineRule="auto"/>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t>107</w:t>
            </w:r>
          </w:p>
        </w:tc>
        <w:tc>
          <w:tcPr>
            <w:tcW w:w="3402" w:type="dxa"/>
            <w:tcBorders>
              <w:top w:val="single" w:sz="4" w:space="0" w:color="auto"/>
              <w:left w:val="nil"/>
              <w:bottom w:val="single" w:sz="4" w:space="0" w:color="auto"/>
              <w:right w:val="single" w:sz="4" w:space="0" w:color="auto"/>
            </w:tcBorders>
            <w:shd w:val="clear" w:color="auto" w:fill="auto"/>
          </w:tcPr>
          <w:p w14:paraId="5248FC3F" w14:textId="77777777" w:rsidR="005672DD" w:rsidRPr="001D6E1B" w:rsidRDefault="005672DD" w:rsidP="005672DD">
            <w:pPr>
              <w:spacing w:before="120" w:after="120" w:line="240" w:lineRule="auto"/>
              <w:rPr>
                <w:rFonts w:asciiTheme="minorHAnsi" w:hAnsiTheme="minorHAnsi"/>
                <w:szCs w:val="20"/>
              </w:rPr>
            </w:pPr>
            <w:r w:rsidRPr="001D6E1B">
              <w:rPr>
                <w:rFonts w:asciiTheme="minorHAnsi" w:hAnsiTheme="minorHAnsi"/>
                <w:szCs w:val="20"/>
              </w:rPr>
              <w:t>How has the Commission utilised its international links to enhance its research programme?</w:t>
            </w:r>
          </w:p>
        </w:tc>
        <w:tc>
          <w:tcPr>
            <w:tcW w:w="9563" w:type="dxa"/>
            <w:tcBorders>
              <w:top w:val="single" w:sz="4" w:space="0" w:color="auto"/>
              <w:left w:val="nil"/>
              <w:bottom w:val="single" w:sz="4" w:space="0" w:color="auto"/>
              <w:right w:val="single" w:sz="4" w:space="0" w:color="auto"/>
            </w:tcBorders>
            <w:shd w:val="clear" w:color="auto" w:fill="auto"/>
            <w:noWrap/>
          </w:tcPr>
          <w:p w14:paraId="5248FC40" w14:textId="77777777" w:rsidR="00F7579A" w:rsidRDefault="005C1FD3" w:rsidP="005F29BE">
            <w:pPr>
              <w:spacing w:before="120" w:after="120" w:line="240" w:lineRule="auto"/>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t xml:space="preserve">The Commission’s research work programme has provided an opportunity to enhance international linkages, particularly through the advent of the OECD’s </w:t>
            </w:r>
            <w:r w:rsidR="00C01178">
              <w:rPr>
                <w:rFonts w:asciiTheme="minorHAnsi" w:eastAsia="Times New Roman" w:hAnsiTheme="minorHAnsi" w:cs="Calibri"/>
                <w:color w:val="000000"/>
                <w:szCs w:val="20"/>
                <w:lang w:eastAsia="en-NZ"/>
              </w:rPr>
              <w:t xml:space="preserve">newly established </w:t>
            </w:r>
            <w:r w:rsidRPr="001D6E1B">
              <w:rPr>
                <w:rFonts w:asciiTheme="minorHAnsi" w:eastAsia="Times New Roman" w:hAnsiTheme="minorHAnsi" w:cs="Calibri"/>
                <w:color w:val="000000"/>
                <w:szCs w:val="20"/>
                <w:lang w:eastAsia="en-NZ"/>
              </w:rPr>
              <w:t>Forum on Productivity</w:t>
            </w:r>
            <w:r w:rsidR="00F7579A">
              <w:rPr>
                <w:rFonts w:asciiTheme="minorHAnsi" w:eastAsia="Times New Roman" w:hAnsiTheme="minorHAnsi" w:cs="Calibri"/>
                <w:color w:val="000000"/>
                <w:szCs w:val="20"/>
                <w:lang w:eastAsia="en-NZ"/>
              </w:rPr>
              <w:t xml:space="preserve"> [</w:t>
            </w:r>
            <w:hyperlink r:id="rId15" w:history="1">
              <w:r w:rsidR="00F7579A" w:rsidRPr="00856B74">
                <w:rPr>
                  <w:rStyle w:val="Hyperlink"/>
                  <w:rFonts w:asciiTheme="minorHAnsi" w:eastAsia="Times New Roman" w:hAnsiTheme="minorHAnsi" w:cs="Calibri"/>
                  <w:szCs w:val="20"/>
                  <w:lang w:eastAsia="en-NZ"/>
                </w:rPr>
                <w:t>http://www.oecd.org/global-forum-productivity/</w:t>
              </w:r>
            </w:hyperlink>
            <w:r w:rsidR="00F7579A">
              <w:rPr>
                <w:rFonts w:asciiTheme="minorHAnsi" w:eastAsia="Times New Roman" w:hAnsiTheme="minorHAnsi" w:cs="Calibri"/>
                <w:color w:val="000000"/>
                <w:szCs w:val="20"/>
                <w:lang w:eastAsia="en-NZ"/>
              </w:rPr>
              <w:t>]</w:t>
            </w:r>
            <w:r w:rsidRPr="001D6E1B">
              <w:rPr>
                <w:rFonts w:asciiTheme="minorHAnsi" w:eastAsia="Times New Roman" w:hAnsiTheme="minorHAnsi" w:cs="Calibri"/>
                <w:color w:val="000000"/>
                <w:szCs w:val="20"/>
                <w:lang w:eastAsia="en-NZ"/>
              </w:rPr>
              <w:t xml:space="preserve">. </w:t>
            </w:r>
          </w:p>
          <w:p w14:paraId="5248FC41" w14:textId="77777777" w:rsidR="00966771" w:rsidRDefault="00F7579A" w:rsidP="005F29BE">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The Commission has </w:t>
            </w:r>
            <w:r w:rsidR="005C1FD3" w:rsidRPr="001D6E1B">
              <w:rPr>
                <w:rFonts w:asciiTheme="minorHAnsi" w:eastAsia="Times New Roman" w:hAnsiTheme="minorHAnsi" w:cs="Calibri"/>
                <w:color w:val="000000"/>
                <w:szCs w:val="20"/>
                <w:lang w:eastAsia="en-NZ"/>
              </w:rPr>
              <w:t>been influential in the establishment of th</w:t>
            </w:r>
            <w:r>
              <w:rPr>
                <w:rFonts w:asciiTheme="minorHAnsi" w:eastAsia="Times New Roman" w:hAnsiTheme="minorHAnsi" w:cs="Calibri"/>
                <w:color w:val="000000"/>
                <w:szCs w:val="20"/>
                <w:lang w:eastAsia="en-NZ"/>
              </w:rPr>
              <w:t>e Forum</w:t>
            </w:r>
            <w:r w:rsidR="005C1FD3" w:rsidRPr="001D6E1B">
              <w:rPr>
                <w:rFonts w:asciiTheme="minorHAnsi" w:eastAsia="Times New Roman" w:hAnsiTheme="minorHAnsi" w:cs="Calibri"/>
                <w:color w:val="000000"/>
                <w:szCs w:val="20"/>
                <w:lang w:eastAsia="en-NZ"/>
              </w:rPr>
              <w:t xml:space="preserve"> and we believe there are important opportunities to extract real value for New Zealand from </w:t>
            </w:r>
            <w:r>
              <w:rPr>
                <w:rFonts w:asciiTheme="minorHAnsi" w:eastAsia="Times New Roman" w:hAnsiTheme="minorHAnsi" w:cs="Calibri"/>
                <w:color w:val="000000"/>
                <w:szCs w:val="20"/>
                <w:lang w:eastAsia="en-NZ"/>
              </w:rPr>
              <w:t>its</w:t>
            </w:r>
            <w:r w:rsidR="005C1FD3" w:rsidRPr="001D6E1B">
              <w:rPr>
                <w:rFonts w:asciiTheme="minorHAnsi" w:eastAsia="Times New Roman" w:hAnsiTheme="minorHAnsi" w:cs="Calibri"/>
                <w:color w:val="000000"/>
                <w:szCs w:val="20"/>
                <w:lang w:eastAsia="en-NZ"/>
              </w:rPr>
              <w:t xml:space="preserve"> work. For example, by getting relevant New Zealand analysis into OECD work programmes which is essential for benchmarking New Zealand’s productivity performance.</w:t>
            </w:r>
            <w:r w:rsidR="003520B6" w:rsidRPr="001D6E1B">
              <w:rPr>
                <w:rFonts w:asciiTheme="minorHAnsi" w:eastAsia="Times New Roman" w:hAnsiTheme="minorHAnsi" w:cs="Calibri"/>
                <w:color w:val="000000"/>
                <w:szCs w:val="20"/>
                <w:lang w:eastAsia="en-NZ"/>
              </w:rPr>
              <w:t xml:space="preserve"> </w:t>
            </w:r>
          </w:p>
          <w:p w14:paraId="5248FC42" w14:textId="77777777" w:rsidR="005F29BE" w:rsidRPr="001D6E1B" w:rsidRDefault="005F29BE" w:rsidP="005F29BE">
            <w:pPr>
              <w:spacing w:before="120" w:after="120" w:line="240" w:lineRule="auto"/>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t>Other ways in which our international linkages have enhanced our research programme include:</w:t>
            </w:r>
          </w:p>
          <w:p w14:paraId="5248FC43" w14:textId="77777777" w:rsidR="005F29BE" w:rsidRPr="001D6E1B" w:rsidRDefault="005F29BE" w:rsidP="00362ECA">
            <w:pPr>
              <w:pStyle w:val="ListParagraph"/>
              <w:numPr>
                <w:ilvl w:val="0"/>
                <w:numId w:val="6"/>
              </w:numPr>
              <w:spacing w:before="120" w:after="120" w:line="240" w:lineRule="auto"/>
              <w:ind w:left="317" w:hanging="317"/>
              <w:contextualSpacing w:val="0"/>
              <w:rPr>
                <w:rFonts w:asciiTheme="minorHAnsi" w:eastAsia="Times New Roman" w:hAnsiTheme="minorHAnsi" w:cs="Calibri"/>
                <w:color w:val="000000"/>
                <w:szCs w:val="20"/>
                <w:lang w:eastAsia="en-NZ"/>
              </w:rPr>
            </w:pPr>
            <w:r w:rsidRPr="001D6E1B">
              <w:rPr>
                <w:rFonts w:asciiTheme="minorHAnsi" w:eastAsia="Times New Roman" w:hAnsiTheme="minorHAnsi" w:cs="Calibri"/>
                <w:i/>
                <w:color w:val="000000"/>
                <w:szCs w:val="20"/>
                <w:lang w:eastAsia="en-NZ"/>
              </w:rPr>
              <w:t>Connecting people and ideas</w:t>
            </w:r>
            <w:r w:rsidRPr="001D6E1B">
              <w:rPr>
                <w:rFonts w:asciiTheme="minorHAnsi" w:eastAsia="Times New Roman" w:hAnsiTheme="minorHAnsi" w:cs="Calibri"/>
                <w:color w:val="000000"/>
                <w:szCs w:val="20"/>
                <w:lang w:eastAsia="en-NZ"/>
              </w:rPr>
              <w:t xml:space="preserve"> – international relationships have helped to established a community across academia, public, private and voluntary sectors with an interest in productivity research in order to make the best use of knowledge and research outputs;</w:t>
            </w:r>
          </w:p>
          <w:p w14:paraId="5248FC44" w14:textId="77777777" w:rsidR="005F29BE" w:rsidRPr="001D6E1B" w:rsidRDefault="005F29BE" w:rsidP="00362ECA">
            <w:pPr>
              <w:pStyle w:val="ListParagraph"/>
              <w:numPr>
                <w:ilvl w:val="0"/>
                <w:numId w:val="6"/>
              </w:numPr>
              <w:spacing w:before="120" w:after="120" w:line="240" w:lineRule="auto"/>
              <w:ind w:left="317" w:hanging="317"/>
              <w:contextualSpacing w:val="0"/>
              <w:rPr>
                <w:rFonts w:asciiTheme="minorHAnsi" w:eastAsia="Times New Roman" w:hAnsiTheme="minorHAnsi" w:cs="Calibri"/>
                <w:color w:val="000000"/>
                <w:szCs w:val="20"/>
                <w:lang w:eastAsia="en-NZ"/>
              </w:rPr>
            </w:pPr>
            <w:r w:rsidRPr="001D6E1B">
              <w:rPr>
                <w:rFonts w:asciiTheme="minorHAnsi" w:eastAsia="Times New Roman" w:hAnsiTheme="minorHAnsi" w:cs="Calibri"/>
                <w:i/>
                <w:color w:val="000000"/>
                <w:szCs w:val="20"/>
                <w:lang w:eastAsia="en-NZ"/>
              </w:rPr>
              <w:t>Sharing research products</w:t>
            </w:r>
            <w:r w:rsidRPr="001D6E1B">
              <w:rPr>
                <w:rFonts w:asciiTheme="minorHAnsi" w:eastAsia="Times New Roman" w:hAnsiTheme="minorHAnsi" w:cs="Calibri"/>
                <w:color w:val="000000"/>
                <w:szCs w:val="20"/>
                <w:lang w:eastAsia="en-NZ"/>
              </w:rPr>
              <w:t xml:space="preserve"> – international linkages can facilitate platforms for exchanging research output, e.g. through events like the Commission’s bi-annual </w:t>
            </w:r>
            <w:r w:rsidRPr="001D6E1B">
              <w:rPr>
                <w:rFonts w:asciiTheme="minorHAnsi" w:eastAsia="Times New Roman" w:hAnsiTheme="minorHAnsi" w:cs="Calibri"/>
                <w:i/>
                <w:color w:val="000000"/>
                <w:szCs w:val="20"/>
                <w:lang w:eastAsia="en-NZ"/>
              </w:rPr>
              <w:t>Productivity Symposium</w:t>
            </w:r>
            <w:r w:rsidRPr="001D6E1B">
              <w:rPr>
                <w:rFonts w:asciiTheme="minorHAnsi" w:eastAsia="Times New Roman" w:hAnsiTheme="minorHAnsi" w:cs="Calibri"/>
                <w:color w:val="000000"/>
                <w:szCs w:val="20"/>
                <w:lang w:eastAsia="en-NZ"/>
              </w:rPr>
              <w:t xml:space="preserve"> or by creating storehouses for research (analysis, evidence and data);</w:t>
            </w:r>
            <w:r w:rsidR="003520B6" w:rsidRPr="001D6E1B">
              <w:rPr>
                <w:rFonts w:asciiTheme="minorHAnsi" w:eastAsia="Times New Roman" w:hAnsiTheme="minorHAnsi" w:cs="Calibri"/>
                <w:color w:val="000000"/>
                <w:szCs w:val="20"/>
                <w:lang w:eastAsia="en-NZ"/>
              </w:rPr>
              <w:t xml:space="preserve"> and,</w:t>
            </w:r>
          </w:p>
          <w:p w14:paraId="5248FC45" w14:textId="77777777" w:rsidR="003E0290" w:rsidRPr="001D6E1B" w:rsidRDefault="005F29BE" w:rsidP="00362ECA">
            <w:pPr>
              <w:pStyle w:val="ListParagraph"/>
              <w:numPr>
                <w:ilvl w:val="0"/>
                <w:numId w:val="6"/>
              </w:numPr>
              <w:spacing w:before="120" w:after="120" w:line="240" w:lineRule="auto"/>
              <w:ind w:left="317" w:hanging="317"/>
              <w:contextualSpacing w:val="0"/>
              <w:rPr>
                <w:rFonts w:asciiTheme="minorHAnsi" w:eastAsia="Times New Roman" w:hAnsiTheme="minorHAnsi" w:cs="Calibri"/>
                <w:color w:val="000000"/>
                <w:szCs w:val="20"/>
                <w:lang w:eastAsia="en-NZ"/>
              </w:rPr>
            </w:pPr>
            <w:r w:rsidRPr="001D6E1B">
              <w:rPr>
                <w:rFonts w:asciiTheme="minorHAnsi" w:eastAsia="Times New Roman" w:hAnsiTheme="minorHAnsi" w:cs="Calibri"/>
                <w:i/>
                <w:color w:val="000000"/>
                <w:szCs w:val="20"/>
                <w:lang w:eastAsia="en-NZ"/>
              </w:rPr>
              <w:t>Shaping research agendas</w:t>
            </w:r>
            <w:r w:rsidRPr="001D6E1B">
              <w:rPr>
                <w:rFonts w:asciiTheme="minorHAnsi" w:eastAsia="Times New Roman" w:hAnsiTheme="minorHAnsi" w:cs="Calibri"/>
                <w:color w:val="000000"/>
                <w:szCs w:val="20"/>
                <w:lang w:eastAsia="en-NZ"/>
              </w:rPr>
              <w:t xml:space="preserve"> – as noted above international relationships can assist in creating opportunities to collaborate on research work programmes to improve their quality and efficiency. </w:t>
            </w:r>
          </w:p>
        </w:tc>
      </w:tr>
    </w:tbl>
    <w:p w14:paraId="5248FC47" w14:textId="77777777" w:rsidR="00D829AF" w:rsidRPr="001D6E1B" w:rsidRDefault="00D829AF">
      <w:pPr>
        <w:rPr>
          <w:rFonts w:asciiTheme="minorHAnsi" w:hAnsiTheme="minorHAnsi"/>
          <w:szCs w:val="20"/>
        </w:rPr>
      </w:pPr>
      <w:r w:rsidRPr="001D6E1B">
        <w:rPr>
          <w:rFonts w:asciiTheme="minorHAnsi" w:hAnsiTheme="minorHAnsi"/>
          <w:szCs w:val="20"/>
        </w:rPr>
        <w:br w:type="page"/>
      </w:r>
    </w:p>
    <w:tbl>
      <w:tblPr>
        <w:tblW w:w="13870" w:type="dxa"/>
        <w:tblInd w:w="83" w:type="dxa"/>
        <w:tblLayout w:type="fixed"/>
        <w:tblLook w:val="04A0" w:firstRow="1" w:lastRow="0" w:firstColumn="1" w:lastColumn="0" w:noHBand="0" w:noVBand="1"/>
      </w:tblPr>
      <w:tblGrid>
        <w:gridCol w:w="905"/>
        <w:gridCol w:w="3402"/>
        <w:gridCol w:w="9563"/>
      </w:tblGrid>
      <w:tr w:rsidR="005672DD" w:rsidRPr="001D6E1B" w14:paraId="5248FC50" w14:textId="77777777" w:rsidTr="00683A52">
        <w:trPr>
          <w:trHeight w:val="642"/>
        </w:trPr>
        <w:tc>
          <w:tcPr>
            <w:tcW w:w="905" w:type="dxa"/>
            <w:tcBorders>
              <w:top w:val="single" w:sz="4" w:space="0" w:color="auto"/>
              <w:left w:val="single" w:sz="4" w:space="0" w:color="auto"/>
              <w:bottom w:val="single" w:sz="4" w:space="0" w:color="auto"/>
              <w:right w:val="single" w:sz="4" w:space="0" w:color="auto"/>
            </w:tcBorders>
            <w:shd w:val="clear" w:color="auto" w:fill="auto"/>
          </w:tcPr>
          <w:p w14:paraId="5248FC48" w14:textId="77777777" w:rsidR="005672DD" w:rsidRPr="001D6E1B" w:rsidRDefault="005672DD" w:rsidP="005672DD">
            <w:pPr>
              <w:spacing w:before="120" w:after="120" w:line="240" w:lineRule="auto"/>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lastRenderedPageBreak/>
              <w:t>108</w:t>
            </w:r>
          </w:p>
        </w:tc>
        <w:tc>
          <w:tcPr>
            <w:tcW w:w="3402" w:type="dxa"/>
            <w:tcBorders>
              <w:top w:val="single" w:sz="4" w:space="0" w:color="auto"/>
              <w:left w:val="nil"/>
              <w:bottom w:val="single" w:sz="4" w:space="0" w:color="auto"/>
              <w:right w:val="single" w:sz="4" w:space="0" w:color="auto"/>
            </w:tcBorders>
            <w:shd w:val="clear" w:color="auto" w:fill="auto"/>
          </w:tcPr>
          <w:p w14:paraId="5248FC49" w14:textId="77777777" w:rsidR="005672DD" w:rsidRPr="001D6E1B" w:rsidRDefault="005672DD" w:rsidP="005672DD">
            <w:pPr>
              <w:pStyle w:val="FRQuestionText"/>
              <w:spacing w:before="120" w:after="120"/>
              <w:ind w:right="238"/>
              <w:rPr>
                <w:rFonts w:asciiTheme="minorHAnsi" w:hAnsiTheme="minorHAnsi"/>
                <w:sz w:val="20"/>
                <w:szCs w:val="20"/>
              </w:rPr>
            </w:pPr>
            <w:r w:rsidRPr="001D6E1B">
              <w:rPr>
                <w:rFonts w:asciiTheme="minorHAnsi" w:hAnsiTheme="minorHAnsi"/>
                <w:sz w:val="20"/>
                <w:szCs w:val="20"/>
              </w:rPr>
              <w:t>The Commission has an evaluation and review framework that regularly reviews the Commission’s work. How, if at all, has the Commission improved its inquiry and research work as a result of its external reviews and evaluations?</w:t>
            </w:r>
          </w:p>
        </w:tc>
        <w:tc>
          <w:tcPr>
            <w:tcW w:w="9563" w:type="dxa"/>
            <w:tcBorders>
              <w:top w:val="single" w:sz="4" w:space="0" w:color="auto"/>
              <w:left w:val="nil"/>
              <w:bottom w:val="single" w:sz="4" w:space="0" w:color="auto"/>
              <w:right w:val="single" w:sz="4" w:space="0" w:color="auto"/>
            </w:tcBorders>
            <w:shd w:val="clear" w:color="auto" w:fill="auto"/>
            <w:noWrap/>
          </w:tcPr>
          <w:p w14:paraId="5248FC4A" w14:textId="77777777" w:rsidR="000453CA" w:rsidRPr="001D6E1B" w:rsidRDefault="000453CA" w:rsidP="006D190B">
            <w:pPr>
              <w:spacing w:before="120" w:after="120" w:line="240" w:lineRule="auto"/>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t xml:space="preserve">The evaluations undertaken of our inquiry and research output is designed to provide an independent view on the quality, robustness, relevance, and value of our work. We </w:t>
            </w:r>
            <w:r w:rsidR="00424287" w:rsidRPr="001D6E1B">
              <w:rPr>
                <w:rFonts w:asciiTheme="minorHAnsi" w:eastAsia="Times New Roman" w:hAnsiTheme="minorHAnsi" w:cs="Calibri"/>
                <w:color w:val="000000"/>
                <w:szCs w:val="20"/>
                <w:lang w:eastAsia="en-NZ"/>
              </w:rPr>
              <w:t xml:space="preserve">do </w:t>
            </w:r>
            <w:r w:rsidRPr="001D6E1B">
              <w:rPr>
                <w:rFonts w:asciiTheme="minorHAnsi" w:eastAsia="Times New Roman" w:hAnsiTheme="minorHAnsi" w:cs="Calibri"/>
                <w:color w:val="000000"/>
                <w:szCs w:val="20"/>
                <w:lang w:eastAsia="en-NZ"/>
              </w:rPr>
              <w:t>believe the</w:t>
            </w:r>
            <w:r w:rsidR="00424287" w:rsidRPr="001D6E1B">
              <w:rPr>
                <w:rFonts w:asciiTheme="minorHAnsi" w:eastAsia="Times New Roman" w:hAnsiTheme="minorHAnsi" w:cs="Calibri"/>
                <w:color w:val="000000"/>
                <w:szCs w:val="20"/>
                <w:lang w:eastAsia="en-NZ"/>
              </w:rPr>
              <w:t xml:space="preserve"> feedback contained in the</w:t>
            </w:r>
            <w:r w:rsidRPr="001D6E1B">
              <w:rPr>
                <w:rFonts w:asciiTheme="minorHAnsi" w:eastAsia="Times New Roman" w:hAnsiTheme="minorHAnsi" w:cs="Calibri"/>
                <w:color w:val="000000"/>
                <w:szCs w:val="20"/>
                <w:lang w:eastAsia="en-NZ"/>
              </w:rPr>
              <w:t>se</w:t>
            </w:r>
            <w:r w:rsidR="00424287" w:rsidRPr="001D6E1B">
              <w:rPr>
                <w:rFonts w:asciiTheme="minorHAnsi" w:eastAsia="Times New Roman" w:hAnsiTheme="minorHAnsi" w:cs="Calibri"/>
                <w:color w:val="000000"/>
                <w:szCs w:val="20"/>
                <w:lang w:eastAsia="en-NZ"/>
              </w:rPr>
              <w:t xml:space="preserve"> evaluations has helped to improve our work </w:t>
            </w:r>
            <w:r w:rsidR="00683A52" w:rsidRPr="001D6E1B">
              <w:rPr>
                <w:rFonts w:asciiTheme="minorHAnsi" w:eastAsia="Times New Roman" w:hAnsiTheme="minorHAnsi" w:cs="Calibri"/>
                <w:color w:val="000000"/>
                <w:szCs w:val="20"/>
                <w:lang w:eastAsia="en-NZ"/>
              </w:rPr>
              <w:t xml:space="preserve">in a number of </w:t>
            </w:r>
            <w:r w:rsidR="00424287" w:rsidRPr="001D6E1B">
              <w:rPr>
                <w:rFonts w:asciiTheme="minorHAnsi" w:eastAsia="Times New Roman" w:hAnsiTheme="minorHAnsi" w:cs="Calibri"/>
                <w:color w:val="000000"/>
                <w:szCs w:val="20"/>
                <w:lang w:eastAsia="en-NZ"/>
              </w:rPr>
              <w:t>ways:</w:t>
            </w:r>
          </w:p>
          <w:p w14:paraId="5248FC4B" w14:textId="77777777" w:rsidR="00424287" w:rsidRPr="001D6E1B" w:rsidRDefault="00424287" w:rsidP="006D190B">
            <w:pPr>
              <w:pStyle w:val="ListParagraph"/>
              <w:numPr>
                <w:ilvl w:val="0"/>
                <w:numId w:val="7"/>
              </w:numPr>
              <w:spacing w:before="120" w:after="120" w:line="240" w:lineRule="auto"/>
              <w:ind w:left="317" w:hanging="317"/>
              <w:contextualSpacing w:val="0"/>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t>Ensuring our reports are appropriately focused and relevant to the particular subjects under consideration;</w:t>
            </w:r>
          </w:p>
          <w:p w14:paraId="5248FC4C" w14:textId="77777777" w:rsidR="00424287" w:rsidRPr="001D6E1B" w:rsidRDefault="00424287" w:rsidP="006D190B">
            <w:pPr>
              <w:pStyle w:val="ListParagraph"/>
              <w:numPr>
                <w:ilvl w:val="0"/>
                <w:numId w:val="7"/>
              </w:numPr>
              <w:spacing w:before="120" w:after="120" w:line="240" w:lineRule="auto"/>
              <w:ind w:left="317" w:hanging="317"/>
              <w:contextualSpacing w:val="0"/>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t>Highlighting areas where we need to d</w:t>
            </w:r>
            <w:r w:rsidR="000453CA" w:rsidRPr="001D6E1B">
              <w:rPr>
                <w:rFonts w:asciiTheme="minorHAnsi" w:eastAsia="Times New Roman" w:hAnsiTheme="minorHAnsi" w:cs="Calibri"/>
                <w:color w:val="000000"/>
                <w:szCs w:val="20"/>
                <w:lang w:eastAsia="en-NZ"/>
              </w:rPr>
              <w:t>eepen our productivity knowledge</w:t>
            </w:r>
            <w:r w:rsidRPr="001D6E1B">
              <w:rPr>
                <w:rFonts w:asciiTheme="minorHAnsi" w:eastAsia="Times New Roman" w:hAnsiTheme="minorHAnsi" w:cs="Calibri"/>
                <w:color w:val="000000"/>
                <w:szCs w:val="20"/>
                <w:lang w:eastAsia="en-NZ"/>
              </w:rPr>
              <w:t xml:space="preserve"> (e.g. demonstrating our knowledge of New Zealand’s productivity challenges through our ‘productivity narrative’);</w:t>
            </w:r>
          </w:p>
          <w:p w14:paraId="5248FC4D" w14:textId="77777777" w:rsidR="00424287" w:rsidRPr="001D6E1B" w:rsidRDefault="00424287" w:rsidP="006D190B">
            <w:pPr>
              <w:pStyle w:val="ListParagraph"/>
              <w:numPr>
                <w:ilvl w:val="0"/>
                <w:numId w:val="7"/>
              </w:numPr>
              <w:spacing w:before="120" w:after="120" w:line="240" w:lineRule="auto"/>
              <w:ind w:left="317" w:hanging="317"/>
              <w:contextualSpacing w:val="0"/>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t>Focusing on the development of high-quality evidence-based analysis as the basis for findings and recommendations;</w:t>
            </w:r>
          </w:p>
          <w:p w14:paraId="5248FC4E" w14:textId="77777777" w:rsidR="00424287" w:rsidRPr="001D6E1B" w:rsidRDefault="006D190B" w:rsidP="006D190B">
            <w:pPr>
              <w:pStyle w:val="ListParagraph"/>
              <w:numPr>
                <w:ilvl w:val="0"/>
                <w:numId w:val="7"/>
              </w:numPr>
              <w:spacing w:before="120" w:after="120" w:line="240" w:lineRule="auto"/>
              <w:ind w:left="317" w:hanging="317"/>
              <w:contextualSpacing w:val="0"/>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t xml:space="preserve">How we can </w:t>
            </w:r>
            <w:r w:rsidR="00424287" w:rsidRPr="001D6E1B">
              <w:rPr>
                <w:rFonts w:asciiTheme="minorHAnsi" w:eastAsia="Times New Roman" w:hAnsiTheme="minorHAnsi" w:cs="Calibri"/>
                <w:color w:val="000000"/>
                <w:szCs w:val="20"/>
                <w:lang w:eastAsia="en-NZ"/>
              </w:rPr>
              <w:t>extend and improve our suite of communications tools to support our reports and deliver</w:t>
            </w:r>
            <w:r w:rsidRPr="001D6E1B">
              <w:rPr>
                <w:rFonts w:asciiTheme="minorHAnsi" w:eastAsia="Times New Roman" w:hAnsiTheme="minorHAnsi" w:cs="Calibri"/>
                <w:color w:val="000000"/>
                <w:szCs w:val="20"/>
                <w:lang w:eastAsia="en-NZ"/>
              </w:rPr>
              <w:t xml:space="preserve"> key messages with </w:t>
            </w:r>
            <w:r w:rsidR="00424287" w:rsidRPr="001D6E1B">
              <w:rPr>
                <w:rFonts w:asciiTheme="minorHAnsi" w:eastAsia="Times New Roman" w:hAnsiTheme="minorHAnsi" w:cs="Calibri"/>
                <w:color w:val="000000"/>
                <w:szCs w:val="20"/>
                <w:lang w:eastAsia="en-NZ"/>
              </w:rPr>
              <w:t>clarity</w:t>
            </w:r>
            <w:r w:rsidRPr="001D6E1B">
              <w:rPr>
                <w:rFonts w:asciiTheme="minorHAnsi" w:eastAsia="Times New Roman" w:hAnsiTheme="minorHAnsi" w:cs="Calibri"/>
                <w:color w:val="000000"/>
                <w:szCs w:val="20"/>
                <w:lang w:eastAsia="en-NZ"/>
              </w:rPr>
              <w:t xml:space="preserve"> and in professional formats;</w:t>
            </w:r>
            <w:r w:rsidR="00683A52" w:rsidRPr="001D6E1B">
              <w:rPr>
                <w:rFonts w:asciiTheme="minorHAnsi" w:eastAsia="Times New Roman" w:hAnsiTheme="minorHAnsi" w:cs="Calibri"/>
                <w:color w:val="000000"/>
                <w:szCs w:val="20"/>
                <w:lang w:eastAsia="en-NZ"/>
              </w:rPr>
              <w:t xml:space="preserve"> and,</w:t>
            </w:r>
          </w:p>
          <w:p w14:paraId="5248FC4F" w14:textId="77777777" w:rsidR="005672DD" w:rsidRPr="001D6E1B" w:rsidRDefault="006D190B" w:rsidP="006D190B">
            <w:pPr>
              <w:pStyle w:val="ListParagraph"/>
              <w:numPr>
                <w:ilvl w:val="0"/>
                <w:numId w:val="7"/>
              </w:numPr>
              <w:spacing w:before="120" w:after="120" w:line="240" w:lineRule="auto"/>
              <w:ind w:left="317" w:hanging="317"/>
              <w:contextualSpacing w:val="0"/>
              <w:rPr>
                <w:rFonts w:asciiTheme="minorHAnsi" w:eastAsia="Times New Roman" w:hAnsiTheme="minorHAnsi" w:cs="Calibri"/>
                <w:color w:val="000000"/>
                <w:szCs w:val="20"/>
                <w:lang w:eastAsia="en-NZ"/>
              </w:rPr>
            </w:pPr>
            <w:r w:rsidRPr="001D6E1B">
              <w:rPr>
                <w:rFonts w:asciiTheme="minorHAnsi" w:eastAsia="Times New Roman" w:hAnsiTheme="minorHAnsi" w:cs="Calibri"/>
                <w:color w:val="000000"/>
                <w:szCs w:val="20"/>
                <w:lang w:eastAsia="en-NZ"/>
              </w:rPr>
              <w:t>Refining our engagement processes to a point where they are viewed as a strength and a reliable platform for engaging interested parties in our work.</w:t>
            </w:r>
          </w:p>
        </w:tc>
      </w:tr>
    </w:tbl>
    <w:p w14:paraId="5248FC51" w14:textId="77777777" w:rsidR="00145600" w:rsidRPr="000C21B7" w:rsidRDefault="00145600" w:rsidP="0011413F">
      <w:pPr>
        <w:rPr>
          <w:rFonts w:asciiTheme="minorHAnsi" w:hAnsiTheme="minorHAnsi"/>
          <w:sz w:val="14"/>
        </w:rPr>
        <w:sectPr w:rsidR="00145600" w:rsidRPr="000C21B7" w:rsidSect="001D6E1B">
          <w:headerReference w:type="default" r:id="rId16"/>
          <w:footerReference w:type="default" r:id="rId17"/>
          <w:pgSz w:w="16838" w:h="11906" w:orient="landscape"/>
          <w:pgMar w:top="1368" w:right="1440" w:bottom="1134" w:left="1440" w:header="709" w:footer="283" w:gutter="0"/>
          <w:cols w:space="708"/>
          <w:docGrid w:linePitch="360"/>
        </w:sectPr>
      </w:pPr>
    </w:p>
    <w:p w14:paraId="5248FC52" w14:textId="77777777" w:rsidR="00DD570F" w:rsidRPr="000C21B7" w:rsidRDefault="00DD570F" w:rsidP="007365F1">
      <w:pPr>
        <w:spacing w:line="240" w:lineRule="auto"/>
        <w:rPr>
          <w:rFonts w:asciiTheme="minorHAnsi" w:hAnsiTheme="minorHAnsi"/>
          <w:sz w:val="14"/>
        </w:rPr>
      </w:pPr>
    </w:p>
    <w:p w14:paraId="5248FC53" w14:textId="77777777" w:rsidR="00DD570F" w:rsidRPr="000C21B7" w:rsidRDefault="00DD570F" w:rsidP="007365F1">
      <w:pPr>
        <w:spacing w:line="240" w:lineRule="auto"/>
        <w:rPr>
          <w:rFonts w:asciiTheme="minorHAnsi" w:hAnsiTheme="minorHAnsi"/>
          <w:sz w:val="14"/>
        </w:rPr>
      </w:pPr>
    </w:p>
    <w:p w14:paraId="5248FC54" w14:textId="77777777" w:rsidR="00DD570F" w:rsidRPr="000C21B7" w:rsidRDefault="00DD570F" w:rsidP="007365F1">
      <w:pPr>
        <w:spacing w:line="240" w:lineRule="auto"/>
        <w:rPr>
          <w:rFonts w:asciiTheme="minorHAnsi" w:hAnsiTheme="minorHAnsi"/>
          <w:sz w:val="14"/>
        </w:rPr>
      </w:pPr>
    </w:p>
    <w:p w14:paraId="5248FC55" w14:textId="77777777" w:rsidR="00DD570F" w:rsidRPr="000C21B7" w:rsidRDefault="00DD570F" w:rsidP="007365F1">
      <w:pPr>
        <w:spacing w:line="240" w:lineRule="auto"/>
        <w:rPr>
          <w:rFonts w:asciiTheme="minorHAnsi" w:hAnsiTheme="minorHAnsi"/>
          <w:sz w:val="14"/>
        </w:rPr>
      </w:pPr>
    </w:p>
    <w:p w14:paraId="5248FC56" w14:textId="77777777" w:rsidR="007875B1" w:rsidRPr="000C21B7" w:rsidRDefault="007875B1" w:rsidP="007365F1">
      <w:pPr>
        <w:spacing w:line="240" w:lineRule="auto"/>
        <w:rPr>
          <w:rFonts w:asciiTheme="minorHAnsi" w:hAnsiTheme="minorHAnsi"/>
          <w:sz w:val="14"/>
        </w:rPr>
      </w:pPr>
    </w:p>
    <w:sectPr w:rsidR="007875B1" w:rsidRPr="000C21B7" w:rsidSect="00DD570F">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FC59" w14:textId="77777777" w:rsidR="00BB5E19" w:rsidRDefault="00BB5E19" w:rsidP="006B7AB7">
      <w:pPr>
        <w:spacing w:after="0" w:line="240" w:lineRule="auto"/>
      </w:pPr>
      <w:r>
        <w:separator/>
      </w:r>
    </w:p>
  </w:endnote>
  <w:endnote w:type="continuationSeparator" w:id="0">
    <w:p w14:paraId="5248FC5A" w14:textId="77777777" w:rsidR="00BB5E19" w:rsidRDefault="00BB5E19" w:rsidP="006B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MaoriLight">
    <w:altName w:val="Bell MT"/>
    <w:panose1 w:val="020B0402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6"/>
        <w:szCs w:val="16"/>
      </w:rPr>
      <w:id w:val="1951814730"/>
      <w:docPartObj>
        <w:docPartGallery w:val="Page Numbers (Bottom of Page)"/>
        <w:docPartUnique/>
      </w:docPartObj>
    </w:sdtPr>
    <w:sdtEndPr/>
    <w:sdtContent>
      <w:sdt>
        <w:sdtPr>
          <w:rPr>
            <w:rFonts w:asciiTheme="majorHAnsi" w:hAnsiTheme="majorHAnsi"/>
            <w:sz w:val="16"/>
            <w:szCs w:val="16"/>
          </w:rPr>
          <w:id w:val="-152753837"/>
          <w:docPartObj>
            <w:docPartGallery w:val="Page Numbers (Top of Page)"/>
            <w:docPartUnique/>
          </w:docPartObj>
        </w:sdtPr>
        <w:sdtEndPr/>
        <w:sdtContent>
          <w:p w14:paraId="5248FC5C" w14:textId="77777777" w:rsidR="00A6583F" w:rsidRPr="00D829AF" w:rsidRDefault="00A6583F">
            <w:pPr>
              <w:pStyle w:val="Footer"/>
              <w:jc w:val="right"/>
              <w:rPr>
                <w:rFonts w:asciiTheme="majorHAnsi" w:hAnsiTheme="majorHAnsi"/>
                <w:sz w:val="16"/>
                <w:szCs w:val="16"/>
              </w:rPr>
            </w:pPr>
            <w:r w:rsidRPr="00D829AF">
              <w:rPr>
                <w:rFonts w:asciiTheme="majorHAnsi" w:hAnsiTheme="majorHAnsi"/>
                <w:sz w:val="16"/>
                <w:szCs w:val="16"/>
              </w:rPr>
              <w:t xml:space="preserve">Page </w:t>
            </w:r>
            <w:r w:rsidRPr="00D829AF">
              <w:rPr>
                <w:rFonts w:asciiTheme="majorHAnsi" w:hAnsiTheme="majorHAnsi"/>
                <w:bCs/>
                <w:sz w:val="16"/>
                <w:szCs w:val="16"/>
              </w:rPr>
              <w:fldChar w:fldCharType="begin"/>
            </w:r>
            <w:r w:rsidRPr="00D829AF">
              <w:rPr>
                <w:rFonts w:asciiTheme="majorHAnsi" w:hAnsiTheme="majorHAnsi"/>
                <w:bCs/>
                <w:sz w:val="16"/>
                <w:szCs w:val="16"/>
              </w:rPr>
              <w:instrText xml:space="preserve"> PAGE </w:instrText>
            </w:r>
            <w:r w:rsidRPr="00D829AF">
              <w:rPr>
                <w:rFonts w:asciiTheme="majorHAnsi" w:hAnsiTheme="majorHAnsi"/>
                <w:bCs/>
                <w:sz w:val="16"/>
                <w:szCs w:val="16"/>
              </w:rPr>
              <w:fldChar w:fldCharType="separate"/>
            </w:r>
            <w:r w:rsidR="00C90CCF">
              <w:rPr>
                <w:rFonts w:asciiTheme="majorHAnsi" w:hAnsiTheme="majorHAnsi"/>
                <w:bCs/>
                <w:noProof/>
                <w:sz w:val="16"/>
                <w:szCs w:val="16"/>
              </w:rPr>
              <w:t>4</w:t>
            </w:r>
            <w:r w:rsidRPr="00D829AF">
              <w:rPr>
                <w:rFonts w:asciiTheme="majorHAnsi" w:hAnsiTheme="majorHAnsi"/>
                <w:bCs/>
                <w:sz w:val="16"/>
                <w:szCs w:val="16"/>
              </w:rPr>
              <w:fldChar w:fldCharType="end"/>
            </w:r>
            <w:r w:rsidRPr="00D829AF">
              <w:rPr>
                <w:rFonts w:asciiTheme="majorHAnsi" w:hAnsiTheme="majorHAnsi"/>
                <w:sz w:val="16"/>
                <w:szCs w:val="16"/>
              </w:rPr>
              <w:t xml:space="preserve"> of </w:t>
            </w:r>
            <w:r w:rsidRPr="00D829AF">
              <w:rPr>
                <w:rFonts w:asciiTheme="majorHAnsi" w:hAnsiTheme="majorHAnsi"/>
                <w:bCs/>
                <w:sz w:val="16"/>
                <w:szCs w:val="16"/>
              </w:rPr>
              <w:fldChar w:fldCharType="begin"/>
            </w:r>
            <w:r w:rsidRPr="00D829AF">
              <w:rPr>
                <w:rFonts w:asciiTheme="majorHAnsi" w:hAnsiTheme="majorHAnsi"/>
                <w:bCs/>
                <w:sz w:val="16"/>
                <w:szCs w:val="16"/>
              </w:rPr>
              <w:instrText xml:space="preserve"> NUMPAGES  </w:instrText>
            </w:r>
            <w:r w:rsidRPr="00D829AF">
              <w:rPr>
                <w:rFonts w:asciiTheme="majorHAnsi" w:hAnsiTheme="majorHAnsi"/>
                <w:bCs/>
                <w:sz w:val="16"/>
                <w:szCs w:val="16"/>
              </w:rPr>
              <w:fldChar w:fldCharType="separate"/>
            </w:r>
            <w:r w:rsidR="00C90CCF">
              <w:rPr>
                <w:rFonts w:asciiTheme="majorHAnsi" w:hAnsiTheme="majorHAnsi"/>
                <w:bCs/>
                <w:noProof/>
                <w:sz w:val="16"/>
                <w:szCs w:val="16"/>
              </w:rPr>
              <w:t>4</w:t>
            </w:r>
            <w:r w:rsidRPr="00D829AF">
              <w:rPr>
                <w:rFonts w:asciiTheme="majorHAnsi" w:hAnsiTheme="majorHAnsi"/>
                <w:bCs/>
                <w:sz w:val="16"/>
                <w:szCs w:val="16"/>
              </w:rPr>
              <w:fldChar w:fldCharType="end"/>
            </w:r>
          </w:p>
        </w:sdtContent>
      </w:sdt>
    </w:sdtContent>
  </w:sdt>
  <w:p w14:paraId="5248FC5D" w14:textId="77777777" w:rsidR="00A6583F" w:rsidRDefault="00A6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FC57" w14:textId="77777777" w:rsidR="00BB5E19" w:rsidRDefault="00BB5E19" w:rsidP="006B7AB7">
      <w:pPr>
        <w:spacing w:after="0" w:line="240" w:lineRule="auto"/>
      </w:pPr>
      <w:r>
        <w:separator/>
      </w:r>
    </w:p>
  </w:footnote>
  <w:footnote w:type="continuationSeparator" w:id="0">
    <w:p w14:paraId="5248FC58" w14:textId="77777777" w:rsidR="00BB5E19" w:rsidRDefault="00BB5E19" w:rsidP="006B7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FC5B" w14:textId="77777777" w:rsidR="00A6583F" w:rsidRPr="00D829AF" w:rsidRDefault="00683A52" w:rsidP="00683A52">
    <w:pPr>
      <w:pStyle w:val="Heading2"/>
      <w:spacing w:before="0" w:after="120"/>
      <w:jc w:val="right"/>
      <w:rPr>
        <w:color w:val="auto"/>
      </w:rPr>
    </w:pPr>
    <w:r w:rsidRPr="00D829AF">
      <w:rPr>
        <w:color w:val="auto"/>
      </w:rPr>
      <w:t>NZ Productivity Commission 2015/16 Annual Review: Additional Questions for Written Answer [103-108]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5AC"/>
    <w:multiLevelType w:val="hybridMultilevel"/>
    <w:tmpl w:val="4A762168"/>
    <w:lvl w:ilvl="0" w:tplc="1BB20204">
      <w:start w:val="1"/>
      <w:numFmt w:val="bullet"/>
      <w:lvlText w:val=""/>
      <w:lvlJc w:val="left"/>
      <w:pPr>
        <w:ind w:left="720" w:hanging="360"/>
      </w:pPr>
      <w:rPr>
        <w:rFonts w:ascii="Symbol" w:hAnsi="Symbol" w:hint="default"/>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32786B"/>
    <w:multiLevelType w:val="multilevel"/>
    <w:tmpl w:val="81484EF8"/>
    <w:lvl w:ilvl="0">
      <w:start w:val="1"/>
      <w:numFmt w:val="decimal"/>
      <w:pStyle w:val="FRNumberedHeadingI"/>
      <w:lvlText w:val="%1"/>
      <w:lvlJc w:val="left"/>
      <w:pPr>
        <w:tabs>
          <w:tab w:val="num" w:pos="864"/>
        </w:tabs>
        <w:ind w:left="864" w:hanging="864"/>
      </w:pPr>
      <w:rPr>
        <w:b/>
        <w:i w:val="0"/>
        <w:color w:val="auto"/>
        <w:sz w:val="28"/>
      </w:rPr>
    </w:lvl>
    <w:lvl w:ilvl="1">
      <w:start w:val="1"/>
      <w:numFmt w:val="decimal"/>
      <w:pStyle w:val="FRNumberedParagraph"/>
      <w:lvlText w:val="%1.%2"/>
      <w:lvlJc w:val="left"/>
      <w:pPr>
        <w:tabs>
          <w:tab w:val="num" w:pos="864"/>
        </w:tabs>
        <w:ind w:left="864" w:hanging="864"/>
      </w:pPr>
      <w:rPr>
        <w:b/>
        <w:i w:val="0"/>
        <w:color w:val="auto"/>
      </w:rPr>
    </w:lvl>
    <w:lvl w:ilvl="2">
      <w:start w:val="1"/>
      <w:numFmt w:val="decimal"/>
      <w:lvlText w:val="%1.%2.%3"/>
      <w:lvlJc w:val="left"/>
      <w:pPr>
        <w:tabs>
          <w:tab w:val="num" w:pos="720"/>
        </w:tabs>
        <w:ind w:left="720" w:hanging="72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15:restartNumberingAfterBreak="0">
    <w:nsid w:val="3DF23A97"/>
    <w:multiLevelType w:val="hybridMultilevel"/>
    <w:tmpl w:val="FE4E7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01205CB"/>
    <w:multiLevelType w:val="hybridMultilevel"/>
    <w:tmpl w:val="BDBA38B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626C162E"/>
    <w:multiLevelType w:val="hybridMultilevel"/>
    <w:tmpl w:val="148C948C"/>
    <w:lvl w:ilvl="0" w:tplc="1BB20204">
      <w:start w:val="1"/>
      <w:numFmt w:val="bullet"/>
      <w:lvlText w:val=""/>
      <w:lvlJc w:val="left"/>
      <w:pPr>
        <w:ind w:left="720" w:hanging="360"/>
      </w:pPr>
      <w:rPr>
        <w:rFonts w:ascii="Symbol" w:hAnsi="Symbol" w:hint="default"/>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F1C679A"/>
    <w:multiLevelType w:val="hybridMultilevel"/>
    <w:tmpl w:val="92289F12"/>
    <w:lvl w:ilvl="0" w:tplc="1BB20204">
      <w:start w:val="1"/>
      <w:numFmt w:val="bullet"/>
      <w:lvlText w:val=""/>
      <w:lvlJc w:val="left"/>
      <w:pPr>
        <w:ind w:left="720" w:hanging="360"/>
      </w:pPr>
      <w:rPr>
        <w:rFonts w:ascii="Symbol" w:hAnsi="Symbol" w:hint="default"/>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E956B4D"/>
    <w:multiLevelType w:val="hybridMultilevel"/>
    <w:tmpl w:val="68B6A5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3"/>
  </w:num>
  <w:num w:numId="3">
    <w:abstractNumId w:val="6"/>
  </w:num>
  <w:num w:numId="4">
    <w:abstractNumId w:val="4"/>
  </w:num>
  <w:num w:numId="5">
    <w:abstractNumId w:val="5"/>
  </w:num>
  <w:num w:numId="6">
    <w:abstractNumId w:val="0"/>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1D"/>
    <w:rsid w:val="0000581A"/>
    <w:rsid w:val="00013422"/>
    <w:rsid w:val="00022B92"/>
    <w:rsid w:val="00024956"/>
    <w:rsid w:val="0003004B"/>
    <w:rsid w:val="000414AD"/>
    <w:rsid w:val="000453CA"/>
    <w:rsid w:val="0005330B"/>
    <w:rsid w:val="0007515B"/>
    <w:rsid w:val="0009240C"/>
    <w:rsid w:val="000B6218"/>
    <w:rsid w:val="000C0AE4"/>
    <w:rsid w:val="000C21B7"/>
    <w:rsid w:val="000C3F32"/>
    <w:rsid w:val="000D2215"/>
    <w:rsid w:val="000D5F62"/>
    <w:rsid w:val="000E6B4B"/>
    <w:rsid w:val="0011255C"/>
    <w:rsid w:val="00112CAB"/>
    <w:rsid w:val="0011413F"/>
    <w:rsid w:val="001202DB"/>
    <w:rsid w:val="001309A9"/>
    <w:rsid w:val="00131D38"/>
    <w:rsid w:val="00135D51"/>
    <w:rsid w:val="00136660"/>
    <w:rsid w:val="00140E91"/>
    <w:rsid w:val="00145600"/>
    <w:rsid w:val="00152DC1"/>
    <w:rsid w:val="00160733"/>
    <w:rsid w:val="00174772"/>
    <w:rsid w:val="001772C2"/>
    <w:rsid w:val="00181598"/>
    <w:rsid w:val="00187A68"/>
    <w:rsid w:val="00192D50"/>
    <w:rsid w:val="001934E7"/>
    <w:rsid w:val="001A344C"/>
    <w:rsid w:val="001C6094"/>
    <w:rsid w:val="001C68B3"/>
    <w:rsid w:val="001C7AB2"/>
    <w:rsid w:val="001D5538"/>
    <w:rsid w:val="001D6E1B"/>
    <w:rsid w:val="001E734A"/>
    <w:rsid w:val="0020512D"/>
    <w:rsid w:val="00214866"/>
    <w:rsid w:val="002207E0"/>
    <w:rsid w:val="00240453"/>
    <w:rsid w:val="002426FC"/>
    <w:rsid w:val="00250DD5"/>
    <w:rsid w:val="00252B6F"/>
    <w:rsid w:val="002534E3"/>
    <w:rsid w:val="00262923"/>
    <w:rsid w:val="002B1258"/>
    <w:rsid w:val="002C6784"/>
    <w:rsid w:val="002D5496"/>
    <w:rsid w:val="002E6203"/>
    <w:rsid w:val="002F0ACA"/>
    <w:rsid w:val="00300037"/>
    <w:rsid w:val="0031233D"/>
    <w:rsid w:val="003132D1"/>
    <w:rsid w:val="003267CB"/>
    <w:rsid w:val="00327DB6"/>
    <w:rsid w:val="00333670"/>
    <w:rsid w:val="003520B6"/>
    <w:rsid w:val="00362ECA"/>
    <w:rsid w:val="00382FCE"/>
    <w:rsid w:val="003B0418"/>
    <w:rsid w:val="003E0290"/>
    <w:rsid w:val="003F5119"/>
    <w:rsid w:val="00411AE8"/>
    <w:rsid w:val="004214B3"/>
    <w:rsid w:val="00421C7B"/>
    <w:rsid w:val="00424287"/>
    <w:rsid w:val="00447C2F"/>
    <w:rsid w:val="00460715"/>
    <w:rsid w:val="00474500"/>
    <w:rsid w:val="00474DBF"/>
    <w:rsid w:val="00490F84"/>
    <w:rsid w:val="004920E8"/>
    <w:rsid w:val="00497B95"/>
    <w:rsid w:val="004A7C7E"/>
    <w:rsid w:val="004B0E77"/>
    <w:rsid w:val="004B26E4"/>
    <w:rsid w:val="004B6C90"/>
    <w:rsid w:val="004D0459"/>
    <w:rsid w:val="004D3E76"/>
    <w:rsid w:val="004F49EA"/>
    <w:rsid w:val="004F7D47"/>
    <w:rsid w:val="004F7F39"/>
    <w:rsid w:val="00501B57"/>
    <w:rsid w:val="0050676B"/>
    <w:rsid w:val="00544E50"/>
    <w:rsid w:val="0054668D"/>
    <w:rsid w:val="00556961"/>
    <w:rsid w:val="005672DD"/>
    <w:rsid w:val="00587079"/>
    <w:rsid w:val="005B557A"/>
    <w:rsid w:val="005C1FD3"/>
    <w:rsid w:val="005C2F01"/>
    <w:rsid w:val="005C4C21"/>
    <w:rsid w:val="005F29BE"/>
    <w:rsid w:val="00602BA3"/>
    <w:rsid w:val="0061658B"/>
    <w:rsid w:val="00631B65"/>
    <w:rsid w:val="0064601D"/>
    <w:rsid w:val="00652E6C"/>
    <w:rsid w:val="00663FE3"/>
    <w:rsid w:val="00666C76"/>
    <w:rsid w:val="00671DBA"/>
    <w:rsid w:val="00683A52"/>
    <w:rsid w:val="00690B8B"/>
    <w:rsid w:val="0069285C"/>
    <w:rsid w:val="006B638F"/>
    <w:rsid w:val="006B6B05"/>
    <w:rsid w:val="006B7AB7"/>
    <w:rsid w:val="006C1BD4"/>
    <w:rsid w:val="006D190B"/>
    <w:rsid w:val="006E2B97"/>
    <w:rsid w:val="006E4010"/>
    <w:rsid w:val="006E4906"/>
    <w:rsid w:val="006F1D7F"/>
    <w:rsid w:val="006F1E95"/>
    <w:rsid w:val="006F4137"/>
    <w:rsid w:val="006F4801"/>
    <w:rsid w:val="00722360"/>
    <w:rsid w:val="0073646F"/>
    <w:rsid w:val="007365F1"/>
    <w:rsid w:val="00746337"/>
    <w:rsid w:val="00751AB1"/>
    <w:rsid w:val="007715D4"/>
    <w:rsid w:val="00780DC2"/>
    <w:rsid w:val="007875B1"/>
    <w:rsid w:val="00796140"/>
    <w:rsid w:val="007A1E64"/>
    <w:rsid w:val="007B32CF"/>
    <w:rsid w:val="007B3A78"/>
    <w:rsid w:val="007B4D57"/>
    <w:rsid w:val="007C0992"/>
    <w:rsid w:val="007C269E"/>
    <w:rsid w:val="007C312A"/>
    <w:rsid w:val="007C64CC"/>
    <w:rsid w:val="007E0DC4"/>
    <w:rsid w:val="007E2BE4"/>
    <w:rsid w:val="007F2F90"/>
    <w:rsid w:val="00801149"/>
    <w:rsid w:val="00822335"/>
    <w:rsid w:val="00825AA3"/>
    <w:rsid w:val="008318B6"/>
    <w:rsid w:val="00862701"/>
    <w:rsid w:val="00865F39"/>
    <w:rsid w:val="00870C1E"/>
    <w:rsid w:val="008759A7"/>
    <w:rsid w:val="008767CF"/>
    <w:rsid w:val="00883175"/>
    <w:rsid w:val="00890B61"/>
    <w:rsid w:val="00891419"/>
    <w:rsid w:val="008A0E70"/>
    <w:rsid w:val="008A148C"/>
    <w:rsid w:val="008C0F4B"/>
    <w:rsid w:val="008C46FA"/>
    <w:rsid w:val="008D5EB5"/>
    <w:rsid w:val="008E1BFB"/>
    <w:rsid w:val="008E4D8A"/>
    <w:rsid w:val="008E4F68"/>
    <w:rsid w:val="008F213D"/>
    <w:rsid w:val="008F315C"/>
    <w:rsid w:val="0090531F"/>
    <w:rsid w:val="009114D4"/>
    <w:rsid w:val="009167DF"/>
    <w:rsid w:val="009273E7"/>
    <w:rsid w:val="009354EF"/>
    <w:rsid w:val="009360A4"/>
    <w:rsid w:val="00937937"/>
    <w:rsid w:val="00937FF7"/>
    <w:rsid w:val="00946FC1"/>
    <w:rsid w:val="00960B85"/>
    <w:rsid w:val="00966771"/>
    <w:rsid w:val="00981EF6"/>
    <w:rsid w:val="009A3F44"/>
    <w:rsid w:val="009B6E62"/>
    <w:rsid w:val="009C49B1"/>
    <w:rsid w:val="009E4299"/>
    <w:rsid w:val="009F4612"/>
    <w:rsid w:val="009F6C9B"/>
    <w:rsid w:val="00A20A96"/>
    <w:rsid w:val="00A24611"/>
    <w:rsid w:val="00A421DC"/>
    <w:rsid w:val="00A43631"/>
    <w:rsid w:val="00A4456F"/>
    <w:rsid w:val="00A52378"/>
    <w:rsid w:val="00A530C6"/>
    <w:rsid w:val="00A6583F"/>
    <w:rsid w:val="00A80C30"/>
    <w:rsid w:val="00A83594"/>
    <w:rsid w:val="00A83921"/>
    <w:rsid w:val="00A87FCE"/>
    <w:rsid w:val="00A97EC4"/>
    <w:rsid w:val="00AA07F7"/>
    <w:rsid w:val="00AA34E9"/>
    <w:rsid w:val="00AB3BC7"/>
    <w:rsid w:val="00AB7A23"/>
    <w:rsid w:val="00AD14BE"/>
    <w:rsid w:val="00AD5835"/>
    <w:rsid w:val="00B00AA1"/>
    <w:rsid w:val="00B0575B"/>
    <w:rsid w:val="00B05C6F"/>
    <w:rsid w:val="00B07DB1"/>
    <w:rsid w:val="00B12687"/>
    <w:rsid w:val="00B249B2"/>
    <w:rsid w:val="00B3748C"/>
    <w:rsid w:val="00B4171D"/>
    <w:rsid w:val="00B4718F"/>
    <w:rsid w:val="00B60A9E"/>
    <w:rsid w:val="00B666AE"/>
    <w:rsid w:val="00B73869"/>
    <w:rsid w:val="00B73F58"/>
    <w:rsid w:val="00B85C03"/>
    <w:rsid w:val="00B86D37"/>
    <w:rsid w:val="00B937F5"/>
    <w:rsid w:val="00B95F5C"/>
    <w:rsid w:val="00BA02F8"/>
    <w:rsid w:val="00BA2FB3"/>
    <w:rsid w:val="00BA7ACC"/>
    <w:rsid w:val="00BB1E2E"/>
    <w:rsid w:val="00BB5E19"/>
    <w:rsid w:val="00BB65C6"/>
    <w:rsid w:val="00BC62A4"/>
    <w:rsid w:val="00BE201E"/>
    <w:rsid w:val="00BE6DCB"/>
    <w:rsid w:val="00BF522B"/>
    <w:rsid w:val="00BF7737"/>
    <w:rsid w:val="00C01178"/>
    <w:rsid w:val="00C06F75"/>
    <w:rsid w:val="00C07244"/>
    <w:rsid w:val="00C16329"/>
    <w:rsid w:val="00C229E5"/>
    <w:rsid w:val="00C27C40"/>
    <w:rsid w:val="00C3307B"/>
    <w:rsid w:val="00C33B1B"/>
    <w:rsid w:val="00C407D0"/>
    <w:rsid w:val="00C52906"/>
    <w:rsid w:val="00C63EC4"/>
    <w:rsid w:val="00C658A6"/>
    <w:rsid w:val="00C660AF"/>
    <w:rsid w:val="00C71563"/>
    <w:rsid w:val="00C83B8A"/>
    <w:rsid w:val="00C83D3E"/>
    <w:rsid w:val="00C90CCF"/>
    <w:rsid w:val="00CD3402"/>
    <w:rsid w:val="00CE7002"/>
    <w:rsid w:val="00CF205C"/>
    <w:rsid w:val="00D05411"/>
    <w:rsid w:val="00D1161D"/>
    <w:rsid w:val="00D12585"/>
    <w:rsid w:val="00D12A25"/>
    <w:rsid w:val="00D20AD6"/>
    <w:rsid w:val="00D3266C"/>
    <w:rsid w:val="00D36CD0"/>
    <w:rsid w:val="00D56147"/>
    <w:rsid w:val="00D615AB"/>
    <w:rsid w:val="00D666D8"/>
    <w:rsid w:val="00D829AF"/>
    <w:rsid w:val="00DA0A44"/>
    <w:rsid w:val="00DA42BB"/>
    <w:rsid w:val="00DB302C"/>
    <w:rsid w:val="00DB7334"/>
    <w:rsid w:val="00DC05DB"/>
    <w:rsid w:val="00DC0921"/>
    <w:rsid w:val="00DD570F"/>
    <w:rsid w:val="00DE122C"/>
    <w:rsid w:val="00E2276C"/>
    <w:rsid w:val="00E5373E"/>
    <w:rsid w:val="00E63502"/>
    <w:rsid w:val="00E77EAC"/>
    <w:rsid w:val="00EB3799"/>
    <w:rsid w:val="00EB3AA9"/>
    <w:rsid w:val="00ED4809"/>
    <w:rsid w:val="00EF11AE"/>
    <w:rsid w:val="00F02183"/>
    <w:rsid w:val="00F26D88"/>
    <w:rsid w:val="00F3415E"/>
    <w:rsid w:val="00F45BC3"/>
    <w:rsid w:val="00F74D21"/>
    <w:rsid w:val="00F7579A"/>
    <w:rsid w:val="00F77B8B"/>
    <w:rsid w:val="00F827DA"/>
    <w:rsid w:val="00FD4270"/>
    <w:rsid w:val="00FE4248"/>
    <w:rsid w:val="00FF46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8FC08"/>
  <w15:docId w15:val="{2B95C43F-1F29-45A9-8DDE-CF233A7D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866"/>
  </w:style>
  <w:style w:type="paragraph" w:styleId="Heading2">
    <w:name w:val="heading 2"/>
    <w:basedOn w:val="Normal"/>
    <w:next w:val="Normal"/>
    <w:link w:val="Heading2Char"/>
    <w:uiPriority w:val="9"/>
    <w:unhideWhenUsed/>
    <w:qFormat/>
    <w:rsid w:val="00683A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01D"/>
    <w:rPr>
      <w:color w:val="0000FF"/>
      <w:u w:val="single"/>
    </w:rPr>
  </w:style>
  <w:style w:type="character" w:styleId="FollowedHyperlink">
    <w:name w:val="FollowedHyperlink"/>
    <w:basedOn w:val="DefaultParagraphFont"/>
    <w:uiPriority w:val="99"/>
    <w:semiHidden/>
    <w:unhideWhenUsed/>
    <w:rsid w:val="0064601D"/>
    <w:rPr>
      <w:color w:val="800080"/>
      <w:u w:val="single"/>
    </w:rPr>
  </w:style>
  <w:style w:type="paragraph" w:customStyle="1" w:styleId="font5">
    <w:name w:val="font5"/>
    <w:basedOn w:val="Normal"/>
    <w:rsid w:val="0064601D"/>
    <w:pPr>
      <w:spacing w:before="100" w:beforeAutospacing="1" w:after="100" w:afterAutospacing="1" w:line="240" w:lineRule="auto"/>
    </w:pPr>
    <w:rPr>
      <w:rFonts w:ascii="Arial Narrow" w:eastAsia="Times New Roman" w:hAnsi="Arial Narrow" w:cs="Times New Roman"/>
      <w:color w:val="000000"/>
      <w:sz w:val="22"/>
      <w:lang w:eastAsia="en-NZ"/>
    </w:rPr>
  </w:style>
  <w:style w:type="paragraph" w:customStyle="1" w:styleId="font6">
    <w:name w:val="font6"/>
    <w:basedOn w:val="Normal"/>
    <w:rsid w:val="0064601D"/>
    <w:pPr>
      <w:spacing w:before="100" w:beforeAutospacing="1" w:after="100" w:afterAutospacing="1" w:line="240" w:lineRule="auto"/>
    </w:pPr>
    <w:rPr>
      <w:rFonts w:ascii="Arial Narrow" w:eastAsia="Times New Roman" w:hAnsi="Arial Narrow" w:cs="Times New Roman"/>
      <w:color w:val="000000"/>
      <w:sz w:val="22"/>
      <w:lang w:eastAsia="en-NZ"/>
    </w:rPr>
  </w:style>
  <w:style w:type="paragraph" w:customStyle="1" w:styleId="xl63">
    <w:name w:val="xl63"/>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4">
    <w:name w:val="xl64"/>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65">
    <w:name w:val="xl65"/>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en-NZ"/>
    </w:rPr>
  </w:style>
  <w:style w:type="paragraph" w:customStyle="1" w:styleId="xl66">
    <w:name w:val="xl66"/>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24"/>
      <w:szCs w:val="24"/>
      <w:lang w:eastAsia="en-NZ"/>
    </w:rPr>
  </w:style>
  <w:style w:type="paragraph" w:customStyle="1" w:styleId="xl67">
    <w:name w:val="xl67"/>
    <w:basedOn w:val="Normal"/>
    <w:rsid w:val="0064601D"/>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Narrow" w:eastAsia="Times New Roman" w:hAnsi="Arial Narrow" w:cs="Times New Roman"/>
      <w:sz w:val="24"/>
      <w:szCs w:val="24"/>
      <w:lang w:eastAsia="en-NZ"/>
    </w:rPr>
  </w:style>
  <w:style w:type="paragraph" w:customStyle="1" w:styleId="xl68">
    <w:name w:val="xl68"/>
    <w:basedOn w:val="Normal"/>
    <w:rsid w:val="0064601D"/>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Arial Narrow" w:eastAsia="Times New Roman" w:hAnsi="Arial Narrow" w:cs="Times New Roman"/>
      <w:sz w:val="24"/>
      <w:szCs w:val="24"/>
      <w:lang w:eastAsia="en-NZ"/>
    </w:rPr>
  </w:style>
  <w:style w:type="paragraph" w:customStyle="1" w:styleId="xl69">
    <w:name w:val="xl69"/>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en-NZ"/>
    </w:rPr>
  </w:style>
  <w:style w:type="paragraph" w:customStyle="1" w:styleId="xl70">
    <w:name w:val="xl70"/>
    <w:basedOn w:val="Normal"/>
    <w:rsid w:val="0064601D"/>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Narrow" w:eastAsia="Times New Roman" w:hAnsi="Arial Narrow" w:cs="Times New Roman"/>
      <w:sz w:val="24"/>
      <w:szCs w:val="24"/>
      <w:lang w:eastAsia="en-NZ"/>
    </w:rPr>
  </w:style>
  <w:style w:type="paragraph" w:customStyle="1" w:styleId="xl71">
    <w:name w:val="xl71"/>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2">
    <w:name w:val="xl72"/>
    <w:basedOn w:val="Normal"/>
    <w:rsid w:val="0064601D"/>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Arial Narrow" w:eastAsia="Times New Roman" w:hAnsi="Arial Narrow" w:cs="Times New Roman"/>
      <w:sz w:val="24"/>
      <w:szCs w:val="24"/>
      <w:lang w:eastAsia="en-NZ"/>
    </w:rPr>
  </w:style>
  <w:style w:type="paragraph" w:customStyle="1" w:styleId="xl73">
    <w:name w:val="xl73"/>
    <w:basedOn w:val="Normal"/>
    <w:rsid w:val="0064601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Arial Narrow" w:eastAsia="Times New Roman" w:hAnsi="Arial Narrow" w:cs="Times New Roman"/>
      <w:sz w:val="24"/>
      <w:szCs w:val="24"/>
      <w:lang w:eastAsia="en-NZ"/>
    </w:rPr>
  </w:style>
  <w:style w:type="paragraph" w:customStyle="1" w:styleId="xl74">
    <w:name w:val="xl74"/>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24"/>
      <w:szCs w:val="24"/>
      <w:lang w:eastAsia="en-NZ"/>
    </w:rPr>
  </w:style>
  <w:style w:type="paragraph" w:customStyle="1" w:styleId="xl75">
    <w:name w:val="xl75"/>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6">
    <w:name w:val="xl76"/>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77">
    <w:name w:val="xl77"/>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NZ"/>
    </w:rPr>
  </w:style>
  <w:style w:type="paragraph" w:customStyle="1" w:styleId="xl78">
    <w:name w:val="xl78"/>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NZ"/>
    </w:rPr>
  </w:style>
  <w:style w:type="paragraph" w:styleId="BalloonText">
    <w:name w:val="Balloon Text"/>
    <w:basedOn w:val="Normal"/>
    <w:link w:val="BalloonTextChar"/>
    <w:uiPriority w:val="99"/>
    <w:semiHidden/>
    <w:unhideWhenUsed/>
    <w:rsid w:val="00AD5835"/>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AD5835"/>
    <w:rPr>
      <w:rFonts w:cs="Tahoma"/>
      <w:sz w:val="16"/>
      <w:szCs w:val="16"/>
    </w:rPr>
  </w:style>
  <w:style w:type="paragraph" w:styleId="ListParagraph">
    <w:name w:val="List Paragraph"/>
    <w:basedOn w:val="Normal"/>
    <w:uiPriority w:val="34"/>
    <w:qFormat/>
    <w:rsid w:val="00C3307B"/>
    <w:pPr>
      <w:ind w:left="720"/>
      <w:contextualSpacing/>
    </w:pPr>
  </w:style>
  <w:style w:type="table" w:styleId="TableGrid">
    <w:name w:val="Table Grid"/>
    <w:basedOn w:val="TableNormal"/>
    <w:uiPriority w:val="59"/>
    <w:rsid w:val="007365F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512D"/>
    <w:pPr>
      <w:spacing w:after="0" w:line="240" w:lineRule="auto"/>
    </w:pPr>
  </w:style>
  <w:style w:type="paragraph" w:styleId="Header">
    <w:name w:val="header"/>
    <w:basedOn w:val="Normal"/>
    <w:link w:val="HeaderChar"/>
    <w:uiPriority w:val="99"/>
    <w:unhideWhenUsed/>
    <w:rsid w:val="006B7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AB7"/>
  </w:style>
  <w:style w:type="paragraph" w:styleId="Footer">
    <w:name w:val="footer"/>
    <w:basedOn w:val="Normal"/>
    <w:link w:val="FooterChar"/>
    <w:uiPriority w:val="99"/>
    <w:unhideWhenUsed/>
    <w:rsid w:val="006B7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AB7"/>
  </w:style>
  <w:style w:type="paragraph" w:customStyle="1" w:styleId="FRNumberedHeadingI">
    <w:name w:val="FR Numbered Heading I"/>
    <w:basedOn w:val="Normal"/>
    <w:rsid w:val="005672DD"/>
    <w:pPr>
      <w:keepNext/>
      <w:numPr>
        <w:numId w:val="1"/>
      </w:numPr>
      <w:spacing w:before="360" w:line="240" w:lineRule="auto"/>
      <w:ind w:left="862" w:hanging="862"/>
    </w:pPr>
    <w:rPr>
      <w:rFonts w:ascii="Arial" w:hAnsi="Arial" w:cs="Arial"/>
      <w:b/>
      <w:bCs/>
      <w:sz w:val="28"/>
      <w:szCs w:val="28"/>
      <w:lang w:eastAsia="en-NZ"/>
    </w:rPr>
  </w:style>
  <w:style w:type="character" w:customStyle="1" w:styleId="FRNumberedParagraphChar">
    <w:name w:val="FR Numbered Paragraph Char"/>
    <w:basedOn w:val="DefaultParagraphFont"/>
    <w:link w:val="FRNumberedParagraph"/>
    <w:locked/>
    <w:rsid w:val="005672DD"/>
    <w:rPr>
      <w:rFonts w:ascii="Arial" w:hAnsi="Arial" w:cs="Arial"/>
    </w:rPr>
  </w:style>
  <w:style w:type="paragraph" w:customStyle="1" w:styleId="FRNumberedParagraph">
    <w:name w:val="FR Numbered Paragraph"/>
    <w:basedOn w:val="Normal"/>
    <w:link w:val="FRNumberedParagraphChar"/>
    <w:rsid w:val="005672DD"/>
    <w:pPr>
      <w:numPr>
        <w:ilvl w:val="1"/>
        <w:numId w:val="1"/>
      </w:numPr>
      <w:spacing w:before="200" w:line="240" w:lineRule="auto"/>
      <w:ind w:left="862" w:hanging="862"/>
    </w:pPr>
    <w:rPr>
      <w:rFonts w:ascii="Arial" w:hAnsi="Arial" w:cs="Arial"/>
    </w:rPr>
  </w:style>
  <w:style w:type="paragraph" w:customStyle="1" w:styleId="FRQuestionText">
    <w:name w:val="FR Question Text"/>
    <w:basedOn w:val="Normal"/>
    <w:rsid w:val="005672DD"/>
    <w:pPr>
      <w:spacing w:before="40" w:after="40" w:line="240" w:lineRule="auto"/>
    </w:pPr>
    <w:rPr>
      <w:rFonts w:ascii="Times New Roman" w:hAnsi="Times New Roman" w:cs="Times New Roman"/>
      <w:sz w:val="24"/>
      <w:szCs w:val="24"/>
      <w:lang w:eastAsia="en-NZ"/>
    </w:rPr>
  </w:style>
  <w:style w:type="paragraph" w:styleId="BodyText">
    <w:name w:val="Body Text"/>
    <w:aliases w:val="Body"/>
    <w:basedOn w:val="Normal"/>
    <w:link w:val="BodyTextChar"/>
    <w:uiPriority w:val="8"/>
    <w:qFormat/>
    <w:rsid w:val="002207E0"/>
    <w:pPr>
      <w:spacing w:after="190" w:line="270" w:lineRule="atLeast"/>
    </w:pPr>
    <w:rPr>
      <w:rFonts w:ascii="AvenirMaoriLight" w:eastAsia="Calibri" w:hAnsi="AvenirMaoriLight" w:cs="Times New Roman"/>
    </w:rPr>
  </w:style>
  <w:style w:type="character" w:customStyle="1" w:styleId="BodyTextChar">
    <w:name w:val="Body Text Char"/>
    <w:aliases w:val="Body Char"/>
    <w:basedOn w:val="DefaultParagraphFont"/>
    <w:link w:val="BodyText"/>
    <w:uiPriority w:val="8"/>
    <w:rsid w:val="002207E0"/>
    <w:rPr>
      <w:rFonts w:ascii="AvenirMaoriLight" w:eastAsia="Calibri" w:hAnsi="AvenirMaoriLight" w:cs="Times New Roman"/>
    </w:rPr>
  </w:style>
  <w:style w:type="character" w:customStyle="1" w:styleId="Heading2Char">
    <w:name w:val="Heading 2 Char"/>
    <w:basedOn w:val="DefaultParagraphFont"/>
    <w:link w:val="Heading2"/>
    <w:uiPriority w:val="9"/>
    <w:rsid w:val="00683A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3222">
      <w:bodyDiv w:val="1"/>
      <w:marLeft w:val="0"/>
      <w:marRight w:val="0"/>
      <w:marTop w:val="0"/>
      <w:marBottom w:val="0"/>
      <w:divBdr>
        <w:top w:val="none" w:sz="0" w:space="0" w:color="auto"/>
        <w:left w:val="none" w:sz="0" w:space="0" w:color="auto"/>
        <w:bottom w:val="none" w:sz="0" w:space="0" w:color="auto"/>
        <w:right w:val="none" w:sz="0" w:space="0" w:color="auto"/>
      </w:divBdr>
    </w:div>
    <w:div w:id="451562349">
      <w:bodyDiv w:val="1"/>
      <w:marLeft w:val="0"/>
      <w:marRight w:val="0"/>
      <w:marTop w:val="0"/>
      <w:marBottom w:val="0"/>
      <w:divBdr>
        <w:top w:val="none" w:sz="0" w:space="0" w:color="auto"/>
        <w:left w:val="none" w:sz="0" w:space="0" w:color="auto"/>
        <w:bottom w:val="none" w:sz="0" w:space="0" w:color="auto"/>
        <w:right w:val="none" w:sz="0" w:space="0" w:color="auto"/>
      </w:divBdr>
    </w:div>
    <w:div w:id="645623184">
      <w:bodyDiv w:val="1"/>
      <w:marLeft w:val="0"/>
      <w:marRight w:val="0"/>
      <w:marTop w:val="0"/>
      <w:marBottom w:val="0"/>
      <w:divBdr>
        <w:top w:val="none" w:sz="0" w:space="0" w:color="auto"/>
        <w:left w:val="none" w:sz="0" w:space="0" w:color="auto"/>
        <w:bottom w:val="none" w:sz="0" w:space="0" w:color="auto"/>
        <w:right w:val="none" w:sz="0" w:space="0" w:color="auto"/>
      </w:divBdr>
    </w:div>
    <w:div w:id="867648197">
      <w:bodyDiv w:val="1"/>
      <w:marLeft w:val="0"/>
      <w:marRight w:val="0"/>
      <w:marTop w:val="0"/>
      <w:marBottom w:val="0"/>
      <w:divBdr>
        <w:top w:val="none" w:sz="0" w:space="0" w:color="auto"/>
        <w:left w:val="none" w:sz="0" w:space="0" w:color="auto"/>
        <w:bottom w:val="none" w:sz="0" w:space="0" w:color="auto"/>
        <w:right w:val="none" w:sz="0" w:space="0" w:color="auto"/>
      </w:divBdr>
    </w:div>
    <w:div w:id="1286548588">
      <w:bodyDiv w:val="1"/>
      <w:marLeft w:val="0"/>
      <w:marRight w:val="0"/>
      <w:marTop w:val="0"/>
      <w:marBottom w:val="0"/>
      <w:divBdr>
        <w:top w:val="none" w:sz="0" w:space="0" w:color="auto"/>
        <w:left w:val="none" w:sz="0" w:space="0" w:color="auto"/>
        <w:bottom w:val="none" w:sz="0" w:space="0" w:color="auto"/>
        <w:right w:val="none" w:sz="0" w:space="0" w:color="auto"/>
      </w:divBdr>
    </w:div>
    <w:div w:id="1320309766">
      <w:bodyDiv w:val="1"/>
      <w:marLeft w:val="0"/>
      <w:marRight w:val="0"/>
      <w:marTop w:val="0"/>
      <w:marBottom w:val="0"/>
      <w:divBdr>
        <w:top w:val="none" w:sz="0" w:space="0" w:color="auto"/>
        <w:left w:val="none" w:sz="0" w:space="0" w:color="auto"/>
        <w:bottom w:val="none" w:sz="0" w:space="0" w:color="auto"/>
        <w:right w:val="none" w:sz="0" w:space="0" w:color="auto"/>
      </w:divBdr>
    </w:div>
    <w:div w:id="1590886444">
      <w:bodyDiv w:val="1"/>
      <w:marLeft w:val="0"/>
      <w:marRight w:val="0"/>
      <w:marTop w:val="0"/>
      <w:marBottom w:val="0"/>
      <w:divBdr>
        <w:top w:val="none" w:sz="0" w:space="0" w:color="auto"/>
        <w:left w:val="none" w:sz="0" w:space="0" w:color="auto"/>
        <w:bottom w:val="none" w:sz="0" w:space="0" w:color="auto"/>
        <w:right w:val="none" w:sz="0" w:space="0" w:color="auto"/>
      </w:divBdr>
    </w:div>
    <w:div w:id="1801612631">
      <w:bodyDiv w:val="1"/>
      <w:marLeft w:val="0"/>
      <w:marRight w:val="0"/>
      <w:marTop w:val="0"/>
      <w:marBottom w:val="0"/>
      <w:divBdr>
        <w:top w:val="none" w:sz="0" w:space="0" w:color="auto"/>
        <w:left w:val="none" w:sz="0" w:space="0" w:color="auto"/>
        <w:bottom w:val="none" w:sz="0" w:space="0" w:color="auto"/>
        <w:right w:val="none" w:sz="0" w:space="0" w:color="auto"/>
      </w:divBdr>
    </w:div>
    <w:div w:id="1805075372">
      <w:bodyDiv w:val="1"/>
      <w:marLeft w:val="0"/>
      <w:marRight w:val="0"/>
      <w:marTop w:val="0"/>
      <w:marBottom w:val="0"/>
      <w:divBdr>
        <w:top w:val="none" w:sz="0" w:space="0" w:color="auto"/>
        <w:left w:val="none" w:sz="0" w:space="0" w:color="auto"/>
        <w:bottom w:val="none" w:sz="0" w:space="0" w:color="auto"/>
        <w:right w:val="none" w:sz="0" w:space="0" w:color="auto"/>
      </w:divBdr>
    </w:div>
    <w:div w:id="1819807481">
      <w:bodyDiv w:val="1"/>
      <w:marLeft w:val="0"/>
      <w:marRight w:val="0"/>
      <w:marTop w:val="0"/>
      <w:marBottom w:val="0"/>
      <w:divBdr>
        <w:top w:val="none" w:sz="0" w:space="0" w:color="auto"/>
        <w:left w:val="none" w:sz="0" w:space="0" w:color="auto"/>
        <w:bottom w:val="none" w:sz="0" w:space="0" w:color="auto"/>
        <w:right w:val="none" w:sz="0" w:space="0" w:color="auto"/>
      </w:divBdr>
    </w:div>
    <w:div w:id="1827163422">
      <w:bodyDiv w:val="1"/>
      <w:marLeft w:val="0"/>
      <w:marRight w:val="0"/>
      <w:marTop w:val="0"/>
      <w:marBottom w:val="0"/>
      <w:divBdr>
        <w:top w:val="none" w:sz="0" w:space="0" w:color="auto"/>
        <w:left w:val="none" w:sz="0" w:space="0" w:color="auto"/>
        <w:bottom w:val="none" w:sz="0" w:space="0" w:color="auto"/>
        <w:right w:val="none" w:sz="0" w:space="0" w:color="auto"/>
      </w:divBdr>
    </w:div>
    <w:div w:id="193096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oductivity.govt.nz/sites/default/files/Research%20function%20evalutaion%20September%202016%20PDF%201436Kb%20%28002%2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roductivity.govt.nz/research-papers-li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ecd.org/global-forum-productivit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oductivity.govt.nz/research-paper/achieving-new-zealands-productivity-pot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EDC74A4A664D2E4283017F01F0229A87" ma:contentTypeVersion="59" ma:contentTypeDescription="Create a new document." ma:contentTypeScope="" ma:versionID="4efedda4b722538cf95b9ec61a04bd5e">
  <xsd:schema xmlns:xsd="http://www.w3.org/2001/XMLSchema" xmlns:xs="http://www.w3.org/2001/XMLSchema" xmlns:p="http://schemas.microsoft.com/office/2006/metadata/properties" xmlns:ns2="c77f55b4-6b9e-4f21-a0d6-1b8b89b467e0" xmlns:ns3="4f9c820c-e7e2-444d-97ee-45f2b3485c1d" xmlns:ns4="15ffb055-6eb4-45a1-bc20-bf2ac0d420da" xmlns:ns5="725c79e5-42ce-4aa0-ac78-b6418001f0d2" xmlns:ns6="c91a514c-9034-4fa3-897a-8352025b26ed" xmlns:ns7="8b2bb8e4-2c11-471e-89e7-a762af837b73" targetNamespace="http://schemas.microsoft.com/office/2006/metadata/properties" ma:root="true" ma:fieldsID="f72d148b004bf1d8107d91ca812b79ab" ns2:_="" ns3:_="" ns4:_="" ns5:_="" ns6:_="" ns7:_="">
    <xsd:import namespace="c77f55b4-6b9e-4f21-a0d6-1b8b89b467e0"/>
    <xsd:import namespace="4f9c820c-e7e2-444d-97ee-45f2b3485c1d"/>
    <xsd:import namespace="15ffb055-6eb4-45a1-bc20-bf2ac0d420da"/>
    <xsd:import namespace="725c79e5-42ce-4aa0-ac78-b6418001f0d2"/>
    <xsd:import namespace="c91a514c-9034-4fa3-897a-8352025b26ed"/>
    <xsd:import namespace="8b2bb8e4-2c11-471e-89e7-a762af837b73"/>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AutoKeyPoints" minOccurs="0"/>
                <xsd:element ref="ns7:MediaServiceKeyPoints" minOccurs="0"/>
                <xsd:element ref="ns7:MediaServiceAutoTags" minOccurs="0"/>
                <xsd:element ref="ns7:MediaServiceGenerationTime" minOccurs="0"/>
                <xsd:element ref="ns7: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f55b4-6b9e-4f21-a0d6-1b8b89b467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ma:readOnly="false">
      <xsd:simpleType>
        <xsd:restriction base="dms:Choice">
          <xsd:enumeration value="CONTRACT, Variation, Agreement"/>
          <xsd:enumeration value="FORMAL OUTPUT, Formalised PC Position"/>
          <xsd:enumeration value="CORRESPONDENCE"/>
          <xsd:enumeration value="DATA, Source Data"/>
          <xsd:enumeration value="EMPLOYMENT Related"/>
          <xsd:enumeration value="FILE NOTE, Meeting Record"/>
          <xsd:enumeration value="POLICY, Procedure, Rules"/>
          <xsd:enumeration value="REFERENCE"/>
          <xsd:enumeration value="SCRATCH PAD, Brain Storming"/>
          <xsd:enumeration value="SUBMISSION"/>
          <xsd:enumeration value="TEMPLATE, Checklist or Form"/>
          <xsd:enumeration value="WORKINGS"/>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ma:default="NA" ma:internalName="CategoryNam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NA" ma:hidden="true" ma:internalName="FunctionGroup" ma:readOnly="false">
      <xsd:simpleType>
        <xsd:restriction base="dms:Text">
          <xsd:maxLength value="255"/>
        </xsd:restriction>
      </xsd:simpleType>
    </xsd:element>
    <xsd:element name="Function" ma:index="22" nillable="true" ma:displayName="Function" ma:default="Accountability" ma:hidden="true" ma:internalName="Function" ma:readOnly="false">
      <xsd:simpleType>
        <xsd:restriction base="dms:Text">
          <xsd:maxLength value="255"/>
        </xsd:restriction>
      </xsd:simpleType>
    </xsd:element>
    <xsd:element name="PRAType" ma:index="23" nillable="true" ma:displayName="PRA Type" ma:default="Doc" ma:hidden="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NA"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Accountability"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bb8e4-2c11-471e-89e7-a762af837b73"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ServiceAutoTags" ma:index="47" nillable="true" ma:displayName="Tags" ma:internalName="MediaServiceAutoTags" ma:readOnly="true">
      <xsd:simpleType>
        <xsd:restriction base="dms:Text"/>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EventHashCode" ma:index="4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unction xmlns="4f9c820c-e7e2-444d-97ee-45f2b3485c1d">Accountability</Function>
    <Project xmlns="4f9c820c-e7e2-444d-97ee-45f2b3485c1d">NA</Project>
    <CategoryValue xmlns="4f9c820c-e7e2-444d-97ee-45f2b3485c1d">NA</CategoryValue>
    <DocumentType xmlns="4f9c820c-e7e2-444d-97ee-45f2b3485c1d">DATA, Source Data</DocumentType>
    <FunctionGroup xmlns="4f9c820c-e7e2-444d-97ee-45f2b3485c1d">NA</FunctionGroup>
    <Activity xmlns="4f9c820c-e7e2-444d-97ee-45f2b3485c1d">Annual Review-Financial Review</Activity>
    <Narrative xmlns="4f9c820c-e7e2-444d-97ee-45f2b3485c1d" xsi:nil="true"/>
    <CategoryName xmlns="4f9c820c-e7e2-444d-97ee-45f2b3485c1d">2015-16 Financial Review</CategoryName>
    <Case xmlns="4f9c820c-e7e2-444d-97ee-45f2b3485c1d">NA</Case>
    <Subactivity xmlns="4f9c820c-e7e2-444d-97ee-45f2b3485c1d">NA</Subactivity>
    <_dlc_DocId xmlns="c77f55b4-6b9e-4f21-a0d6-1b8b89b467e0">ACCO-753713969-170</_dlc_DocId>
    <_dlc_DocIdUrl xmlns="c77f55b4-6b9e-4f21-a0d6-1b8b89b467e0">
      <Url>https://nzprod.sharepoint.com/sites/Accountability/_layouts/15/DocIdRedir.aspx?ID=ACCO-753713969-170</Url>
      <Description>ACCO-753713969-170</Description>
    </_dlc_DocIdUrl>
    <Year xmlns="c91a514c-9034-4fa3-897a-8352025b26ed">NA</Year>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ggregationStatus xmlns="4f9c820c-e7e2-444d-97ee-45f2b3485c1d">Normal</AggregationStatus>
    <PRADate2 xmlns="4f9c820c-e7e2-444d-97ee-45f2b3485c1d" xsi:nil="true"/>
    <PRAText1 xmlns="4f9c820c-e7e2-444d-97ee-45f2b3485c1d" xsi:nil="true"/>
    <PRAText4 xmlns="4f9c820c-e7e2-444d-97ee-45f2b3485c1d" xsi:nil="true"/>
    <Level3 xmlns="c91a514c-9034-4fa3-897a-8352025b26ed" xsi:nil="true"/>
    <Team xmlns="c91a514c-9034-4fa3-897a-8352025b26ed">Accountability</Team>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PRAText3 xmlns="4f9c820c-e7e2-444d-97ee-45f2b3485c1d" xsi:nil="true"/>
    <PRADateTrigger xmlns="4f9c820c-e7e2-444d-97ee-45f2b3485c1d" xsi:nil="true"/>
    <PRAText2 xmlns="4f9c820c-e7e2-444d-97ee-45f2b3485c1d" xsi:nil="true"/>
    <_dlc_DocIdPersistId xmlns="c77f55b4-6b9e-4f21-a0d6-1b8b89b467e0">false</_dlc_DocIdPersistId>
    <SharedWithUsers xmlns="c77f55b4-6b9e-4f21-a0d6-1b8b89b467e0">
      <UserInfo>
        <DisplayName/>
        <AccountId xsi:nil="true"/>
        <AccountType/>
      </UserInfo>
    </SharedWithUsers>
  </documentManagement>
</p:properties>
</file>

<file path=customXml/itemProps1.xml><?xml version="1.0" encoding="utf-8"?>
<ds:datastoreItem xmlns:ds="http://schemas.openxmlformats.org/officeDocument/2006/customXml" ds:itemID="{8D89328F-CFF1-4822-9935-BD4B47F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f55b4-6b9e-4f21-a0d6-1b8b89b467e0"/>
    <ds:schemaRef ds:uri="4f9c820c-e7e2-444d-97ee-45f2b3485c1d"/>
    <ds:schemaRef ds:uri="15ffb055-6eb4-45a1-bc20-bf2ac0d420da"/>
    <ds:schemaRef ds:uri="725c79e5-42ce-4aa0-ac78-b6418001f0d2"/>
    <ds:schemaRef ds:uri="c91a514c-9034-4fa3-897a-8352025b26ed"/>
    <ds:schemaRef ds:uri="8b2bb8e4-2c11-471e-89e7-a762af837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77C93-DF3E-4682-983E-611864A25F92}">
  <ds:schemaRefs>
    <ds:schemaRef ds:uri="http://schemas.microsoft.com/sharepoint/events"/>
  </ds:schemaRefs>
</ds:datastoreItem>
</file>

<file path=customXml/itemProps3.xml><?xml version="1.0" encoding="utf-8"?>
<ds:datastoreItem xmlns:ds="http://schemas.openxmlformats.org/officeDocument/2006/customXml" ds:itemID="{7860441A-7F38-4A5F-8259-3D8BAC920B69}">
  <ds:schemaRefs>
    <ds:schemaRef ds:uri="http://schemas.microsoft.com/sharepoint/v3/contenttype/forms"/>
  </ds:schemaRefs>
</ds:datastoreItem>
</file>

<file path=customXml/itemProps4.xml><?xml version="1.0" encoding="utf-8"?>
<ds:datastoreItem xmlns:ds="http://schemas.openxmlformats.org/officeDocument/2006/customXml" ds:itemID="{67FD9E99-4A57-4210-A7D4-5CB1D9EFB42C}">
  <ds:schemaRefs>
    <ds:schemaRef ds:uri="http://schemas.openxmlformats.org/officeDocument/2006/bibliography"/>
  </ds:schemaRefs>
</ds:datastoreItem>
</file>

<file path=customXml/itemProps5.xml><?xml version="1.0" encoding="utf-8"?>
<ds:datastoreItem xmlns:ds="http://schemas.openxmlformats.org/officeDocument/2006/customXml" ds:itemID="{87A599BB-BE77-4BC7-B920-CEF41A8ED15C}">
  <ds:schemaRefs>
    <ds:schemaRef ds:uri="725c79e5-42ce-4aa0-ac78-b6418001f0d2"/>
    <ds:schemaRef ds:uri="http://purl.org/dc/terms/"/>
    <ds:schemaRef ds:uri="http://schemas.microsoft.com/office/infopath/2007/PartnerControls"/>
    <ds:schemaRef ds:uri="15ffb055-6eb4-45a1-bc20-bf2ac0d420da"/>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8b2bb8e4-2c11-471e-89e7-a762af837b73"/>
    <ds:schemaRef ds:uri="c91a514c-9034-4fa3-897a-8352025b26ed"/>
    <ds:schemaRef ds:uri="4f9c820c-e7e2-444d-97ee-45f2b3485c1d"/>
    <ds:schemaRef ds:uri="c77f55b4-6b9e-4f21-a0d6-1b8b89b467e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2015-16 Commerce Commission Annual Review Hearing Questions</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Commerce Commission Annual Review Hearing Questions</dc:title>
  <dc:subject/>
  <dc:creator>Virginia Wright</dc:creator>
  <cp:lastModifiedBy>Daiman Smith</cp:lastModifiedBy>
  <cp:revision>2</cp:revision>
  <cp:lastPrinted>2016-11-23T22:44:00Z</cp:lastPrinted>
  <dcterms:created xsi:type="dcterms:W3CDTF">2021-08-27T01:43:00Z</dcterms:created>
  <dcterms:modified xsi:type="dcterms:W3CDTF">2021-08-27T01:43:00Z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0x010100EDC74A4A664D2E4283017F01F0229A87</vt:lpwstr>
  </property>
  <property fmtid="{D5CDD505-2E9C-101B-9397-08002B2CF9AE}" pid="3" name="_dlc_DocIdItemGuid">
    <vt:lpwstr>eab94d0d-41c7-4419-a567-93de63e1c1a9</vt:lpwstr>
  </property>
  <property fmtid="{D5CDD505-2E9C-101B-9397-08002B2CF9AE}" pid="4" name="_ModerationStatus">
    <vt:lpwstr>0</vt:lpwstr>
  </property>
  <property fmtid="{D5CDD505-2E9C-101B-9397-08002B2CF9AE}" pid="5" name="OriginalSubject">
    <vt:lpwstr/>
  </property>
  <property fmtid="{D5CDD505-2E9C-101B-9397-08002B2CF9AE}" pid="6" name="MailPreviewData">
    <vt:lpwstr/>
  </property>
  <property fmtid="{D5CDD505-2E9C-101B-9397-08002B2CF9AE}" pid="7" name="ILFrom">
    <vt:lpwstr/>
  </property>
  <property fmtid="{D5CDD505-2E9C-101B-9397-08002B2CF9AE}" pid="8" name="To">
    <vt:lpwstr/>
  </property>
  <property fmtid="{D5CDD505-2E9C-101B-9397-08002B2CF9AE}" pid="9" name="HarmonieUIHidden">
    <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xd_Signature">
    <vt:bool>false</vt:bool>
  </property>
</Properties>
</file>