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4AAB" w14:textId="657F2F27" w:rsidR="005F650A" w:rsidRDefault="005F650A" w:rsidP="005F650A">
      <w:pPr>
        <w:pStyle w:val="Header"/>
        <w:jc w:val="right"/>
        <w:rPr>
          <w:rFonts w:asciiTheme="minorHAnsi" w:hAnsiTheme="minorHAnsi"/>
          <w:sz w:val="16"/>
          <w:szCs w:val="16"/>
        </w:rPr>
      </w:pPr>
    </w:p>
    <w:tbl>
      <w:tblPr>
        <w:tblStyle w:val="TableGrid"/>
        <w:tblW w:w="0" w:type="auto"/>
        <w:tblLook w:val="04A0" w:firstRow="1" w:lastRow="0" w:firstColumn="1" w:lastColumn="0" w:noHBand="0" w:noVBand="1"/>
      </w:tblPr>
      <w:tblGrid>
        <w:gridCol w:w="6960"/>
        <w:gridCol w:w="6968"/>
      </w:tblGrid>
      <w:tr w:rsidR="005F650A" w14:paraId="30FF56D0" w14:textId="77777777" w:rsidTr="005F650A">
        <w:tc>
          <w:tcPr>
            <w:tcW w:w="6974" w:type="dxa"/>
            <w:tcBorders>
              <w:top w:val="single" w:sz="12" w:space="0" w:color="auto"/>
              <w:left w:val="single" w:sz="12" w:space="0" w:color="auto"/>
              <w:bottom w:val="single" w:sz="12" w:space="0" w:color="auto"/>
              <w:right w:val="single" w:sz="12" w:space="0" w:color="auto"/>
            </w:tcBorders>
            <w:vAlign w:val="center"/>
          </w:tcPr>
          <w:p w14:paraId="2BF78360" w14:textId="77777777" w:rsidR="005F650A" w:rsidRDefault="005F650A" w:rsidP="005F650A">
            <w:pPr>
              <w:pStyle w:val="Header"/>
              <w:spacing w:before="240" w:after="240"/>
              <w:rPr>
                <w:b/>
                <w:sz w:val="28"/>
                <w:szCs w:val="28"/>
              </w:rPr>
            </w:pPr>
            <w:r w:rsidRPr="005F650A">
              <w:rPr>
                <w:b/>
                <w:caps/>
                <w:sz w:val="28"/>
                <w:szCs w:val="28"/>
              </w:rPr>
              <w:t>New Zealand Productivity Commission</w:t>
            </w:r>
            <w:r w:rsidRPr="005F650A">
              <w:rPr>
                <w:b/>
                <w:sz w:val="28"/>
                <w:szCs w:val="28"/>
              </w:rPr>
              <w:t xml:space="preserve"> </w:t>
            </w:r>
          </w:p>
          <w:p w14:paraId="0D214A8E" w14:textId="6D47A348" w:rsidR="005F650A" w:rsidRDefault="005F650A" w:rsidP="005F650A">
            <w:pPr>
              <w:pStyle w:val="Header"/>
              <w:spacing w:before="240" w:after="240"/>
              <w:rPr>
                <w:b/>
                <w:sz w:val="28"/>
                <w:szCs w:val="28"/>
              </w:rPr>
            </w:pPr>
            <w:r w:rsidRPr="005F650A">
              <w:rPr>
                <w:b/>
                <w:sz w:val="28"/>
                <w:szCs w:val="28"/>
              </w:rPr>
              <w:t>2017/18 Review</w:t>
            </w:r>
            <w:r>
              <w:rPr>
                <w:b/>
                <w:sz w:val="28"/>
                <w:szCs w:val="28"/>
              </w:rPr>
              <w:t xml:space="preserve"> - </w:t>
            </w:r>
            <w:r w:rsidRPr="005F650A">
              <w:rPr>
                <w:b/>
                <w:sz w:val="28"/>
                <w:szCs w:val="28"/>
              </w:rPr>
              <w:t>Economic Development, Science &amp; Innovation Committee</w:t>
            </w:r>
          </w:p>
          <w:p w14:paraId="467B90AB" w14:textId="5831B0E4" w:rsidR="005F650A" w:rsidRPr="005F650A" w:rsidRDefault="005F650A" w:rsidP="005F650A">
            <w:pPr>
              <w:pStyle w:val="Header"/>
              <w:spacing w:before="240" w:after="240"/>
              <w:rPr>
                <w:b/>
                <w:sz w:val="28"/>
                <w:szCs w:val="28"/>
              </w:rPr>
            </w:pPr>
            <w:r w:rsidRPr="005F650A">
              <w:rPr>
                <w:b/>
                <w:sz w:val="28"/>
                <w:szCs w:val="28"/>
              </w:rPr>
              <w:t>‘</w:t>
            </w:r>
            <w:r w:rsidR="00D872B4">
              <w:rPr>
                <w:b/>
                <w:i/>
                <w:sz w:val="28"/>
                <w:szCs w:val="28"/>
              </w:rPr>
              <w:t xml:space="preserve">Further </w:t>
            </w:r>
            <w:r w:rsidRPr="005F650A">
              <w:rPr>
                <w:b/>
                <w:i/>
                <w:sz w:val="28"/>
                <w:szCs w:val="28"/>
              </w:rPr>
              <w:t>Questions</w:t>
            </w:r>
            <w:r w:rsidRPr="005F650A">
              <w:rPr>
                <w:b/>
                <w:sz w:val="28"/>
                <w:szCs w:val="28"/>
              </w:rPr>
              <w:t>’ 1</w:t>
            </w:r>
            <w:r w:rsidR="00D872B4">
              <w:rPr>
                <w:b/>
                <w:sz w:val="28"/>
                <w:szCs w:val="28"/>
              </w:rPr>
              <w:t>13</w:t>
            </w:r>
            <w:r w:rsidRPr="005F650A">
              <w:rPr>
                <w:b/>
                <w:sz w:val="28"/>
                <w:szCs w:val="28"/>
              </w:rPr>
              <w:t>-12</w:t>
            </w:r>
            <w:r w:rsidR="00D872B4">
              <w:rPr>
                <w:b/>
                <w:sz w:val="28"/>
                <w:szCs w:val="28"/>
              </w:rPr>
              <w:t>4</w:t>
            </w:r>
          </w:p>
        </w:tc>
        <w:tc>
          <w:tcPr>
            <w:tcW w:w="6974" w:type="dxa"/>
            <w:tcBorders>
              <w:top w:val="single" w:sz="12" w:space="0" w:color="auto"/>
              <w:left w:val="single" w:sz="12" w:space="0" w:color="auto"/>
              <w:bottom w:val="single" w:sz="12" w:space="0" w:color="auto"/>
              <w:right w:val="single" w:sz="12" w:space="0" w:color="auto"/>
            </w:tcBorders>
          </w:tcPr>
          <w:p w14:paraId="0D69DAE6" w14:textId="49A95340" w:rsidR="005F650A" w:rsidRDefault="005F650A" w:rsidP="005F650A">
            <w:pPr>
              <w:pStyle w:val="Header"/>
              <w:jc w:val="center"/>
              <w:rPr>
                <w:sz w:val="16"/>
                <w:szCs w:val="16"/>
              </w:rPr>
            </w:pPr>
            <w:r>
              <w:rPr>
                <w:rFonts w:cstheme="minorHAnsi"/>
                <w:noProof/>
                <w:sz w:val="21"/>
                <w:szCs w:val="21"/>
                <w:lang w:eastAsia="en-NZ"/>
              </w:rPr>
              <w:drawing>
                <wp:inline distT="0" distB="0" distL="0" distR="0" wp14:anchorId="7FEB9397" wp14:editId="735FFF2F">
                  <wp:extent cx="3014211" cy="1752600"/>
                  <wp:effectExtent l="0" t="0" r="0" b="0"/>
                  <wp:docPr id="10" name="Picture 10" descr="C:\Users\alsopp\Desktop\NZ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opp\Desktop\NZP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8241" cy="1784015"/>
                          </a:xfrm>
                          <a:prstGeom prst="rect">
                            <a:avLst/>
                          </a:prstGeom>
                          <a:noFill/>
                          <a:ln>
                            <a:noFill/>
                          </a:ln>
                        </pic:spPr>
                      </pic:pic>
                    </a:graphicData>
                  </a:graphic>
                </wp:inline>
              </w:drawing>
            </w:r>
          </w:p>
        </w:tc>
      </w:tr>
      <w:tr w:rsidR="005F650A" w14:paraId="47B24BED" w14:textId="77777777" w:rsidTr="005F650A">
        <w:tc>
          <w:tcPr>
            <w:tcW w:w="6974" w:type="dxa"/>
            <w:tcBorders>
              <w:top w:val="single" w:sz="12" w:space="0" w:color="auto"/>
              <w:left w:val="nil"/>
              <w:bottom w:val="nil"/>
              <w:right w:val="nil"/>
            </w:tcBorders>
          </w:tcPr>
          <w:p w14:paraId="4EB23850" w14:textId="77777777" w:rsidR="005F650A" w:rsidRDefault="005F650A" w:rsidP="005F650A">
            <w:pPr>
              <w:pStyle w:val="Header"/>
              <w:jc w:val="right"/>
              <w:rPr>
                <w:sz w:val="16"/>
                <w:szCs w:val="16"/>
              </w:rPr>
            </w:pPr>
          </w:p>
        </w:tc>
        <w:tc>
          <w:tcPr>
            <w:tcW w:w="6974" w:type="dxa"/>
            <w:tcBorders>
              <w:top w:val="single" w:sz="12" w:space="0" w:color="auto"/>
              <w:left w:val="nil"/>
              <w:bottom w:val="nil"/>
              <w:right w:val="nil"/>
            </w:tcBorders>
          </w:tcPr>
          <w:p w14:paraId="26272B3B" w14:textId="77777777" w:rsidR="005F650A" w:rsidRDefault="005F650A" w:rsidP="005F650A">
            <w:pPr>
              <w:pStyle w:val="Header"/>
              <w:jc w:val="right"/>
              <w:rPr>
                <w:sz w:val="16"/>
                <w:szCs w:val="16"/>
              </w:rPr>
            </w:pPr>
          </w:p>
        </w:tc>
      </w:tr>
    </w:tbl>
    <w:p w14:paraId="5B40CB60" w14:textId="77777777" w:rsidR="005F650A" w:rsidRPr="005F650A" w:rsidRDefault="005F650A" w:rsidP="005F650A">
      <w:pPr>
        <w:pStyle w:val="Header"/>
        <w:jc w:val="right"/>
        <w:rPr>
          <w:rFonts w:asciiTheme="minorHAnsi" w:hAnsiTheme="minorHAnsi"/>
          <w:sz w:val="16"/>
          <w:szCs w:val="16"/>
        </w:rPr>
      </w:pPr>
    </w:p>
    <w:p w14:paraId="61EC6EBA" w14:textId="77777777" w:rsidR="005F650A" w:rsidRDefault="005F650A"/>
    <w:p w14:paraId="50D60D58" w14:textId="4ABF9DF3" w:rsidR="005F650A" w:rsidRDefault="005F650A">
      <w:r>
        <w:br w:type="page"/>
      </w:r>
    </w:p>
    <w:sdt>
      <w:sdtPr>
        <w:rPr>
          <w:rFonts w:ascii="Tahoma" w:eastAsiaTheme="minorHAnsi" w:hAnsi="Tahoma" w:cstheme="minorBidi"/>
          <w:color w:val="auto"/>
          <w:sz w:val="20"/>
          <w:szCs w:val="20"/>
          <w:lang w:val="en-NZ"/>
        </w:rPr>
        <w:id w:val="1415898303"/>
        <w:docPartObj>
          <w:docPartGallery w:val="Table of Contents"/>
          <w:docPartUnique/>
        </w:docPartObj>
      </w:sdtPr>
      <w:sdtEndPr>
        <w:rPr>
          <w:b/>
          <w:bCs/>
          <w:noProof/>
          <w:szCs w:val="22"/>
        </w:rPr>
      </w:sdtEndPr>
      <w:sdtContent>
        <w:p w14:paraId="608D395A" w14:textId="59CE2571" w:rsidR="005F650A" w:rsidRPr="00D872B4" w:rsidRDefault="005F650A" w:rsidP="003F1C4D">
          <w:pPr>
            <w:pStyle w:val="TOCHeading"/>
            <w:spacing w:before="120" w:after="360"/>
            <w:rPr>
              <w:rFonts w:asciiTheme="minorHAnsi" w:hAnsiTheme="minorHAnsi" w:cstheme="minorHAnsi"/>
              <w:b/>
              <w:caps/>
              <w:color w:val="auto"/>
              <w:sz w:val="22"/>
              <w:szCs w:val="22"/>
            </w:rPr>
          </w:pPr>
          <w:r w:rsidRPr="00D872B4">
            <w:rPr>
              <w:rFonts w:asciiTheme="minorHAnsi" w:hAnsiTheme="minorHAnsi" w:cstheme="minorHAnsi"/>
              <w:b/>
              <w:caps/>
              <w:color w:val="auto"/>
              <w:sz w:val="22"/>
              <w:szCs w:val="22"/>
            </w:rPr>
            <w:t>Contents</w:t>
          </w:r>
        </w:p>
        <w:p w14:paraId="7ECDDA55" w14:textId="38A9CF4C" w:rsidR="00D872B4" w:rsidRPr="00D872B4" w:rsidRDefault="005F650A" w:rsidP="003F1C4D">
          <w:pPr>
            <w:pStyle w:val="TOC1"/>
            <w:tabs>
              <w:tab w:val="right" w:leader="dot" w:pos="13948"/>
            </w:tabs>
            <w:spacing w:after="360"/>
            <w:rPr>
              <w:rFonts w:asciiTheme="minorHAnsi" w:eastAsiaTheme="minorEastAsia" w:hAnsiTheme="minorHAnsi" w:cstheme="minorHAnsi"/>
              <w:noProof/>
              <w:sz w:val="22"/>
              <w:lang w:eastAsia="en-NZ"/>
            </w:rPr>
          </w:pPr>
          <w:r w:rsidRPr="00184049">
            <w:rPr>
              <w:rFonts w:asciiTheme="minorHAnsi" w:hAnsiTheme="minorHAnsi" w:cstheme="minorHAnsi"/>
              <w:bCs/>
              <w:caps/>
              <w:noProof/>
              <w:sz w:val="22"/>
            </w:rPr>
            <w:fldChar w:fldCharType="begin"/>
          </w:r>
          <w:r w:rsidRPr="00184049">
            <w:rPr>
              <w:rFonts w:asciiTheme="minorHAnsi" w:hAnsiTheme="minorHAnsi" w:cstheme="minorHAnsi"/>
              <w:bCs/>
              <w:caps/>
              <w:noProof/>
              <w:sz w:val="22"/>
            </w:rPr>
            <w:instrText xml:space="preserve"> TOC \o "1-3" \h \z \u </w:instrText>
          </w:r>
          <w:r w:rsidRPr="00184049">
            <w:rPr>
              <w:rFonts w:asciiTheme="minorHAnsi" w:hAnsiTheme="minorHAnsi" w:cstheme="minorHAnsi"/>
              <w:bCs/>
              <w:caps/>
              <w:noProof/>
              <w:sz w:val="22"/>
            </w:rPr>
            <w:fldChar w:fldCharType="separate"/>
          </w:r>
          <w:hyperlink w:anchor="_Toc2151764" w:history="1">
            <w:r w:rsidR="00D872B4" w:rsidRPr="00D872B4">
              <w:rPr>
                <w:rStyle w:val="Hyperlink"/>
                <w:rFonts w:asciiTheme="minorHAnsi" w:eastAsia="Times New Roman" w:hAnsiTheme="minorHAnsi" w:cstheme="minorHAnsi"/>
                <w:caps/>
                <w:noProof/>
                <w:lang w:eastAsia="en-NZ"/>
              </w:rPr>
              <w:t xml:space="preserve">UPTAKE OF THE cOMMISSION’S RECOMENDATIONS </w:t>
            </w:r>
            <w:r w:rsidR="00D872B4" w:rsidRPr="00D872B4">
              <w:rPr>
                <w:rStyle w:val="Hyperlink"/>
                <w:rFonts w:asciiTheme="minorHAnsi" w:eastAsia="Times New Roman" w:hAnsiTheme="minorHAnsi" w:cstheme="minorHAnsi"/>
                <w:bCs/>
                <w:caps/>
                <w:noProof/>
                <w:lang w:eastAsia="en-NZ"/>
              </w:rPr>
              <w:t>(Q</w:t>
            </w:r>
            <w:r w:rsidR="00D872B4" w:rsidRPr="00D872B4">
              <w:rPr>
                <w:rStyle w:val="Hyperlink"/>
                <w:rFonts w:asciiTheme="minorHAnsi" w:eastAsia="Times New Roman" w:hAnsiTheme="minorHAnsi" w:cstheme="minorHAnsi"/>
                <w:bCs/>
                <w:noProof/>
                <w:lang w:eastAsia="en-NZ"/>
              </w:rPr>
              <w:t>ns 113-116)</w:t>
            </w:r>
            <w:r w:rsidR="00D872B4" w:rsidRPr="00D872B4">
              <w:rPr>
                <w:rFonts w:asciiTheme="minorHAnsi" w:hAnsiTheme="minorHAnsi" w:cstheme="minorHAnsi"/>
                <w:noProof/>
                <w:webHidden/>
              </w:rPr>
              <w:tab/>
            </w:r>
            <w:r w:rsidR="00D872B4" w:rsidRPr="00D872B4">
              <w:rPr>
                <w:rFonts w:asciiTheme="minorHAnsi" w:hAnsiTheme="minorHAnsi" w:cstheme="minorHAnsi"/>
                <w:noProof/>
                <w:webHidden/>
              </w:rPr>
              <w:fldChar w:fldCharType="begin"/>
            </w:r>
            <w:r w:rsidR="00D872B4" w:rsidRPr="00D872B4">
              <w:rPr>
                <w:rFonts w:asciiTheme="minorHAnsi" w:hAnsiTheme="minorHAnsi" w:cstheme="minorHAnsi"/>
                <w:noProof/>
                <w:webHidden/>
              </w:rPr>
              <w:instrText xml:space="preserve"> PAGEREF _Toc2151764 \h </w:instrText>
            </w:r>
            <w:r w:rsidR="00D872B4" w:rsidRPr="00D872B4">
              <w:rPr>
                <w:rFonts w:asciiTheme="minorHAnsi" w:hAnsiTheme="minorHAnsi" w:cstheme="minorHAnsi"/>
                <w:noProof/>
                <w:webHidden/>
              </w:rPr>
            </w:r>
            <w:r w:rsidR="00D872B4" w:rsidRPr="00D872B4">
              <w:rPr>
                <w:rFonts w:asciiTheme="minorHAnsi" w:hAnsiTheme="minorHAnsi" w:cstheme="minorHAnsi"/>
                <w:noProof/>
                <w:webHidden/>
              </w:rPr>
              <w:fldChar w:fldCharType="separate"/>
            </w:r>
            <w:r w:rsidR="00B21F99">
              <w:rPr>
                <w:rFonts w:asciiTheme="minorHAnsi" w:hAnsiTheme="minorHAnsi" w:cstheme="minorHAnsi"/>
                <w:noProof/>
                <w:webHidden/>
              </w:rPr>
              <w:t>3</w:t>
            </w:r>
            <w:r w:rsidR="00D872B4" w:rsidRPr="00D872B4">
              <w:rPr>
                <w:rFonts w:asciiTheme="minorHAnsi" w:hAnsiTheme="minorHAnsi" w:cstheme="minorHAnsi"/>
                <w:noProof/>
                <w:webHidden/>
              </w:rPr>
              <w:fldChar w:fldCharType="end"/>
            </w:r>
          </w:hyperlink>
        </w:p>
        <w:p w14:paraId="3A3DE245" w14:textId="3893BF64" w:rsidR="00D872B4" w:rsidRPr="00D872B4" w:rsidRDefault="00A065FB" w:rsidP="003F1C4D">
          <w:pPr>
            <w:pStyle w:val="TOC1"/>
            <w:tabs>
              <w:tab w:val="right" w:leader="dot" w:pos="13948"/>
            </w:tabs>
            <w:spacing w:after="360"/>
            <w:rPr>
              <w:rFonts w:asciiTheme="minorHAnsi" w:eastAsiaTheme="minorEastAsia" w:hAnsiTheme="minorHAnsi" w:cstheme="minorHAnsi"/>
              <w:noProof/>
              <w:sz w:val="22"/>
              <w:lang w:eastAsia="en-NZ"/>
            </w:rPr>
          </w:pPr>
          <w:hyperlink w:anchor="_Toc2151765" w:history="1">
            <w:r w:rsidR="00D872B4" w:rsidRPr="00D872B4">
              <w:rPr>
                <w:rStyle w:val="Hyperlink"/>
                <w:rFonts w:asciiTheme="minorHAnsi" w:eastAsia="Times New Roman" w:hAnsiTheme="minorHAnsi" w:cstheme="minorHAnsi"/>
                <w:caps/>
                <w:noProof/>
                <w:lang w:eastAsia="en-NZ"/>
              </w:rPr>
              <w:t>RESEARCH WORK: SELF-REFERRED AND WITH PRODUCTIVITY HUB PARTNERS (</w:t>
            </w:r>
            <w:r w:rsidR="00D872B4" w:rsidRPr="00D872B4">
              <w:rPr>
                <w:rStyle w:val="Hyperlink"/>
                <w:rFonts w:asciiTheme="minorHAnsi" w:eastAsia="Times New Roman" w:hAnsiTheme="minorHAnsi" w:cstheme="minorHAnsi"/>
                <w:noProof/>
                <w:lang w:eastAsia="en-NZ"/>
              </w:rPr>
              <w:t>Qns 117-121</w:t>
            </w:r>
            <w:r w:rsidR="00D872B4" w:rsidRPr="00D872B4">
              <w:rPr>
                <w:rStyle w:val="Hyperlink"/>
                <w:rFonts w:asciiTheme="minorHAnsi" w:eastAsia="Times New Roman" w:hAnsiTheme="minorHAnsi" w:cstheme="minorHAnsi"/>
                <w:caps/>
                <w:noProof/>
                <w:lang w:eastAsia="en-NZ"/>
              </w:rPr>
              <w:t>)</w:t>
            </w:r>
            <w:r w:rsidR="00D872B4" w:rsidRPr="00D872B4">
              <w:rPr>
                <w:rFonts w:asciiTheme="minorHAnsi" w:hAnsiTheme="minorHAnsi" w:cstheme="minorHAnsi"/>
                <w:noProof/>
                <w:webHidden/>
              </w:rPr>
              <w:tab/>
            </w:r>
            <w:r w:rsidR="00D872B4" w:rsidRPr="00D872B4">
              <w:rPr>
                <w:rFonts w:asciiTheme="minorHAnsi" w:hAnsiTheme="minorHAnsi" w:cstheme="minorHAnsi"/>
                <w:noProof/>
                <w:webHidden/>
              </w:rPr>
              <w:fldChar w:fldCharType="begin"/>
            </w:r>
            <w:r w:rsidR="00D872B4" w:rsidRPr="00D872B4">
              <w:rPr>
                <w:rFonts w:asciiTheme="minorHAnsi" w:hAnsiTheme="minorHAnsi" w:cstheme="minorHAnsi"/>
                <w:noProof/>
                <w:webHidden/>
              </w:rPr>
              <w:instrText xml:space="preserve"> PAGEREF _Toc2151765 \h </w:instrText>
            </w:r>
            <w:r w:rsidR="00D872B4" w:rsidRPr="00D872B4">
              <w:rPr>
                <w:rFonts w:asciiTheme="minorHAnsi" w:hAnsiTheme="minorHAnsi" w:cstheme="minorHAnsi"/>
                <w:noProof/>
                <w:webHidden/>
              </w:rPr>
            </w:r>
            <w:r w:rsidR="00D872B4" w:rsidRPr="00D872B4">
              <w:rPr>
                <w:rFonts w:asciiTheme="minorHAnsi" w:hAnsiTheme="minorHAnsi" w:cstheme="minorHAnsi"/>
                <w:noProof/>
                <w:webHidden/>
              </w:rPr>
              <w:fldChar w:fldCharType="separate"/>
            </w:r>
            <w:r w:rsidR="00B21F99">
              <w:rPr>
                <w:rFonts w:asciiTheme="minorHAnsi" w:hAnsiTheme="minorHAnsi" w:cstheme="minorHAnsi"/>
                <w:noProof/>
                <w:webHidden/>
              </w:rPr>
              <w:t>6</w:t>
            </w:r>
            <w:r w:rsidR="00D872B4" w:rsidRPr="00D872B4">
              <w:rPr>
                <w:rFonts w:asciiTheme="minorHAnsi" w:hAnsiTheme="minorHAnsi" w:cstheme="minorHAnsi"/>
                <w:noProof/>
                <w:webHidden/>
              </w:rPr>
              <w:fldChar w:fldCharType="end"/>
            </w:r>
          </w:hyperlink>
        </w:p>
        <w:p w14:paraId="731E406A" w14:textId="57656FC4" w:rsidR="00D872B4" w:rsidRPr="00D872B4" w:rsidRDefault="00A065FB" w:rsidP="003F1C4D">
          <w:pPr>
            <w:pStyle w:val="TOC1"/>
            <w:tabs>
              <w:tab w:val="right" w:leader="dot" w:pos="13948"/>
            </w:tabs>
            <w:spacing w:after="360"/>
            <w:rPr>
              <w:rFonts w:asciiTheme="minorHAnsi" w:eastAsiaTheme="minorEastAsia" w:hAnsiTheme="minorHAnsi" w:cstheme="minorHAnsi"/>
              <w:noProof/>
              <w:sz w:val="22"/>
              <w:lang w:eastAsia="en-NZ"/>
            </w:rPr>
          </w:pPr>
          <w:hyperlink w:anchor="_Toc2151766" w:history="1">
            <w:r w:rsidR="00D872B4" w:rsidRPr="00D872B4">
              <w:rPr>
                <w:rStyle w:val="Hyperlink"/>
                <w:rFonts w:asciiTheme="minorHAnsi" w:eastAsia="Times New Roman" w:hAnsiTheme="minorHAnsi" w:cstheme="minorHAnsi"/>
                <w:caps/>
                <w:noProof/>
                <w:lang w:eastAsia="en-NZ"/>
              </w:rPr>
              <w:t>the commission’s evaluation programme (</w:t>
            </w:r>
            <w:r w:rsidR="00D872B4" w:rsidRPr="00D872B4">
              <w:rPr>
                <w:rStyle w:val="Hyperlink"/>
                <w:rFonts w:asciiTheme="minorHAnsi" w:eastAsia="Times New Roman" w:hAnsiTheme="minorHAnsi" w:cstheme="minorHAnsi"/>
                <w:noProof/>
                <w:lang w:eastAsia="en-NZ"/>
              </w:rPr>
              <w:t>Qn</w:t>
            </w:r>
            <w:r w:rsidR="00D872B4" w:rsidRPr="00D872B4">
              <w:rPr>
                <w:rStyle w:val="Hyperlink"/>
                <w:rFonts w:asciiTheme="minorHAnsi" w:eastAsia="Times New Roman" w:hAnsiTheme="minorHAnsi" w:cstheme="minorHAnsi"/>
                <w:caps/>
                <w:noProof/>
                <w:lang w:eastAsia="en-NZ"/>
              </w:rPr>
              <w:t xml:space="preserve"> 122)</w:t>
            </w:r>
            <w:r w:rsidR="00D872B4" w:rsidRPr="00D872B4">
              <w:rPr>
                <w:rFonts w:asciiTheme="minorHAnsi" w:hAnsiTheme="minorHAnsi" w:cstheme="minorHAnsi"/>
                <w:noProof/>
                <w:webHidden/>
              </w:rPr>
              <w:tab/>
            </w:r>
            <w:r w:rsidR="00D872B4" w:rsidRPr="00D872B4">
              <w:rPr>
                <w:rFonts w:asciiTheme="minorHAnsi" w:hAnsiTheme="minorHAnsi" w:cstheme="minorHAnsi"/>
                <w:noProof/>
                <w:webHidden/>
              </w:rPr>
              <w:fldChar w:fldCharType="begin"/>
            </w:r>
            <w:r w:rsidR="00D872B4" w:rsidRPr="00D872B4">
              <w:rPr>
                <w:rFonts w:asciiTheme="minorHAnsi" w:hAnsiTheme="minorHAnsi" w:cstheme="minorHAnsi"/>
                <w:noProof/>
                <w:webHidden/>
              </w:rPr>
              <w:instrText xml:space="preserve"> PAGEREF _Toc2151766 \h </w:instrText>
            </w:r>
            <w:r w:rsidR="00D872B4" w:rsidRPr="00D872B4">
              <w:rPr>
                <w:rFonts w:asciiTheme="minorHAnsi" w:hAnsiTheme="minorHAnsi" w:cstheme="minorHAnsi"/>
                <w:noProof/>
                <w:webHidden/>
              </w:rPr>
            </w:r>
            <w:r w:rsidR="00D872B4" w:rsidRPr="00D872B4">
              <w:rPr>
                <w:rFonts w:asciiTheme="minorHAnsi" w:hAnsiTheme="minorHAnsi" w:cstheme="minorHAnsi"/>
                <w:noProof/>
                <w:webHidden/>
              </w:rPr>
              <w:fldChar w:fldCharType="separate"/>
            </w:r>
            <w:r w:rsidR="00B21F99">
              <w:rPr>
                <w:rFonts w:asciiTheme="minorHAnsi" w:hAnsiTheme="minorHAnsi" w:cstheme="minorHAnsi"/>
                <w:noProof/>
                <w:webHidden/>
              </w:rPr>
              <w:t>9</w:t>
            </w:r>
            <w:r w:rsidR="00D872B4" w:rsidRPr="00D872B4">
              <w:rPr>
                <w:rFonts w:asciiTheme="minorHAnsi" w:hAnsiTheme="minorHAnsi" w:cstheme="minorHAnsi"/>
                <w:noProof/>
                <w:webHidden/>
              </w:rPr>
              <w:fldChar w:fldCharType="end"/>
            </w:r>
          </w:hyperlink>
        </w:p>
        <w:p w14:paraId="6A9A0A0E" w14:textId="26940117" w:rsidR="00D872B4" w:rsidRDefault="00A065FB">
          <w:pPr>
            <w:pStyle w:val="TOC1"/>
            <w:tabs>
              <w:tab w:val="right" w:leader="dot" w:pos="13948"/>
            </w:tabs>
            <w:rPr>
              <w:rFonts w:asciiTheme="minorHAnsi" w:eastAsiaTheme="minorEastAsia" w:hAnsiTheme="minorHAnsi"/>
              <w:noProof/>
              <w:sz w:val="22"/>
              <w:lang w:eastAsia="en-NZ"/>
            </w:rPr>
          </w:pPr>
          <w:hyperlink w:anchor="_Toc2151767" w:history="1">
            <w:r w:rsidR="00D872B4" w:rsidRPr="00D872B4">
              <w:rPr>
                <w:rStyle w:val="Hyperlink"/>
                <w:rFonts w:asciiTheme="minorHAnsi" w:eastAsia="Times New Roman" w:hAnsiTheme="minorHAnsi" w:cstheme="minorHAnsi"/>
                <w:caps/>
                <w:noProof/>
                <w:lang w:eastAsia="en-NZ"/>
              </w:rPr>
              <w:t>financial performance and funding discussions (</w:t>
            </w:r>
            <w:r w:rsidR="00D872B4" w:rsidRPr="00D872B4">
              <w:rPr>
                <w:rStyle w:val="Hyperlink"/>
                <w:rFonts w:asciiTheme="minorHAnsi" w:eastAsia="Times New Roman" w:hAnsiTheme="minorHAnsi" w:cstheme="minorHAnsi"/>
                <w:noProof/>
                <w:lang w:eastAsia="en-NZ"/>
              </w:rPr>
              <w:t>Qns</w:t>
            </w:r>
            <w:r w:rsidR="00D872B4" w:rsidRPr="00D872B4">
              <w:rPr>
                <w:rStyle w:val="Hyperlink"/>
                <w:rFonts w:asciiTheme="minorHAnsi" w:eastAsia="Times New Roman" w:hAnsiTheme="minorHAnsi" w:cstheme="minorHAnsi"/>
                <w:caps/>
                <w:noProof/>
                <w:lang w:eastAsia="en-NZ"/>
              </w:rPr>
              <w:t xml:space="preserve"> 123-124)</w:t>
            </w:r>
            <w:r w:rsidR="00D872B4" w:rsidRPr="00D872B4">
              <w:rPr>
                <w:rFonts w:asciiTheme="minorHAnsi" w:hAnsiTheme="minorHAnsi" w:cstheme="minorHAnsi"/>
                <w:noProof/>
                <w:webHidden/>
              </w:rPr>
              <w:tab/>
            </w:r>
            <w:r w:rsidR="00D872B4" w:rsidRPr="00D872B4">
              <w:rPr>
                <w:rFonts w:asciiTheme="minorHAnsi" w:hAnsiTheme="minorHAnsi" w:cstheme="minorHAnsi"/>
                <w:noProof/>
                <w:webHidden/>
              </w:rPr>
              <w:fldChar w:fldCharType="begin"/>
            </w:r>
            <w:r w:rsidR="00D872B4" w:rsidRPr="00D872B4">
              <w:rPr>
                <w:rFonts w:asciiTheme="minorHAnsi" w:hAnsiTheme="minorHAnsi" w:cstheme="minorHAnsi"/>
                <w:noProof/>
                <w:webHidden/>
              </w:rPr>
              <w:instrText xml:space="preserve"> PAGEREF _Toc2151767 \h </w:instrText>
            </w:r>
            <w:r w:rsidR="00D872B4" w:rsidRPr="00D872B4">
              <w:rPr>
                <w:rFonts w:asciiTheme="minorHAnsi" w:hAnsiTheme="minorHAnsi" w:cstheme="minorHAnsi"/>
                <w:noProof/>
                <w:webHidden/>
              </w:rPr>
            </w:r>
            <w:r w:rsidR="00D872B4" w:rsidRPr="00D872B4">
              <w:rPr>
                <w:rFonts w:asciiTheme="minorHAnsi" w:hAnsiTheme="minorHAnsi" w:cstheme="minorHAnsi"/>
                <w:noProof/>
                <w:webHidden/>
              </w:rPr>
              <w:fldChar w:fldCharType="separate"/>
            </w:r>
            <w:r w:rsidR="00B21F99">
              <w:rPr>
                <w:rFonts w:asciiTheme="minorHAnsi" w:hAnsiTheme="minorHAnsi" w:cstheme="minorHAnsi"/>
                <w:noProof/>
                <w:webHidden/>
              </w:rPr>
              <w:t>9</w:t>
            </w:r>
            <w:r w:rsidR="00D872B4" w:rsidRPr="00D872B4">
              <w:rPr>
                <w:rFonts w:asciiTheme="minorHAnsi" w:hAnsiTheme="minorHAnsi" w:cstheme="minorHAnsi"/>
                <w:noProof/>
                <w:webHidden/>
              </w:rPr>
              <w:fldChar w:fldCharType="end"/>
            </w:r>
          </w:hyperlink>
        </w:p>
        <w:p w14:paraId="24DE2BE8" w14:textId="6288AC2E" w:rsidR="005F650A" w:rsidRDefault="005F650A" w:rsidP="00184049">
          <w:pPr>
            <w:spacing w:before="120" w:after="120" w:line="240" w:lineRule="auto"/>
          </w:pPr>
          <w:r w:rsidRPr="00184049">
            <w:rPr>
              <w:rFonts w:asciiTheme="minorHAnsi" w:hAnsiTheme="minorHAnsi" w:cstheme="minorHAnsi"/>
              <w:bCs/>
              <w:caps/>
              <w:noProof/>
              <w:sz w:val="22"/>
            </w:rPr>
            <w:fldChar w:fldCharType="end"/>
          </w:r>
        </w:p>
      </w:sdtContent>
    </w:sdt>
    <w:p w14:paraId="3B39C6E2" w14:textId="77777777" w:rsidR="005F650A" w:rsidRDefault="005F650A">
      <w:r>
        <w:br w:type="page"/>
      </w:r>
    </w:p>
    <w:tbl>
      <w:tblPr>
        <w:tblW w:w="14058" w:type="dxa"/>
        <w:tblInd w:w="88" w:type="dxa"/>
        <w:tblLook w:val="04A0" w:firstRow="1" w:lastRow="0" w:firstColumn="1" w:lastColumn="0" w:noHBand="0" w:noVBand="1"/>
      </w:tblPr>
      <w:tblGrid>
        <w:gridCol w:w="549"/>
        <w:gridCol w:w="5859"/>
        <w:gridCol w:w="7650"/>
      </w:tblGrid>
      <w:tr w:rsidR="000C21B7" w:rsidRPr="001350F5" w14:paraId="6421F123" w14:textId="77777777" w:rsidTr="00053B1B">
        <w:trPr>
          <w:trHeight w:val="300"/>
        </w:trPr>
        <w:tc>
          <w:tcPr>
            <w:tcW w:w="14058" w:type="dxa"/>
            <w:gridSpan w:val="3"/>
            <w:shd w:val="clear" w:color="auto" w:fill="auto"/>
            <w:noWrap/>
            <w:vAlign w:val="center"/>
            <w:hideMark/>
          </w:tcPr>
          <w:p w14:paraId="074EAF4B" w14:textId="457BED1A" w:rsidR="000C21B7" w:rsidRPr="00C42A94" w:rsidRDefault="00D872B4" w:rsidP="00C42A94">
            <w:pPr>
              <w:pStyle w:val="Heading1"/>
              <w:spacing w:before="0" w:after="120"/>
              <w:rPr>
                <w:rFonts w:asciiTheme="minorHAnsi" w:eastAsia="Times New Roman" w:hAnsiTheme="minorHAnsi" w:cs="Calibri"/>
                <w:b/>
                <w:color w:val="000000"/>
                <w:sz w:val="24"/>
                <w:szCs w:val="24"/>
                <w:lang w:eastAsia="en-NZ"/>
              </w:rPr>
            </w:pPr>
            <w:bookmarkStart w:id="0" w:name="_Toc2151764"/>
            <w:r>
              <w:rPr>
                <w:rFonts w:asciiTheme="minorHAnsi" w:eastAsia="Times New Roman" w:hAnsiTheme="minorHAnsi" w:cs="Calibri"/>
                <w:b/>
                <w:caps/>
                <w:color w:val="000000"/>
                <w:sz w:val="24"/>
                <w:szCs w:val="24"/>
                <w:lang w:eastAsia="en-NZ"/>
              </w:rPr>
              <w:lastRenderedPageBreak/>
              <w:t xml:space="preserve">UPTAKE OF THE cOMMISSION’S RECOMENDATIONS </w:t>
            </w:r>
            <w:r w:rsidR="00C42A94">
              <w:rPr>
                <w:rFonts w:asciiTheme="minorHAnsi" w:eastAsia="Times New Roman" w:hAnsiTheme="minorHAnsi" w:cs="Calibri"/>
                <w:b/>
                <w:bCs/>
                <w:caps/>
                <w:color w:val="000000"/>
                <w:sz w:val="24"/>
                <w:szCs w:val="24"/>
                <w:lang w:eastAsia="en-NZ"/>
              </w:rPr>
              <w:t>(Q</w:t>
            </w:r>
            <w:r w:rsidR="00C42A94">
              <w:rPr>
                <w:rFonts w:asciiTheme="minorHAnsi" w:eastAsia="Times New Roman" w:hAnsiTheme="minorHAnsi" w:cs="Calibri"/>
                <w:b/>
                <w:bCs/>
                <w:color w:val="000000"/>
                <w:sz w:val="24"/>
                <w:szCs w:val="24"/>
                <w:lang w:eastAsia="en-NZ"/>
              </w:rPr>
              <w:t xml:space="preserve">ns </w:t>
            </w:r>
            <w:r>
              <w:rPr>
                <w:rFonts w:asciiTheme="minorHAnsi" w:eastAsia="Times New Roman" w:hAnsiTheme="minorHAnsi" w:cs="Calibri"/>
                <w:b/>
                <w:bCs/>
                <w:color w:val="000000"/>
                <w:sz w:val="24"/>
                <w:szCs w:val="24"/>
                <w:lang w:eastAsia="en-NZ"/>
              </w:rPr>
              <w:t>113</w:t>
            </w:r>
            <w:r w:rsidR="00C42A94">
              <w:rPr>
                <w:rFonts w:asciiTheme="minorHAnsi" w:eastAsia="Times New Roman" w:hAnsiTheme="minorHAnsi" w:cs="Calibri"/>
                <w:b/>
                <w:bCs/>
                <w:color w:val="000000"/>
                <w:sz w:val="24"/>
                <w:szCs w:val="24"/>
                <w:lang w:eastAsia="en-NZ"/>
              </w:rPr>
              <w:t>-</w:t>
            </w:r>
            <w:r>
              <w:rPr>
                <w:rFonts w:asciiTheme="minorHAnsi" w:eastAsia="Times New Roman" w:hAnsiTheme="minorHAnsi" w:cs="Calibri"/>
                <w:b/>
                <w:bCs/>
                <w:color w:val="000000"/>
                <w:sz w:val="24"/>
                <w:szCs w:val="24"/>
                <w:lang w:eastAsia="en-NZ"/>
              </w:rPr>
              <w:t>116</w:t>
            </w:r>
            <w:r w:rsidR="00C42A94">
              <w:rPr>
                <w:rFonts w:asciiTheme="minorHAnsi" w:eastAsia="Times New Roman" w:hAnsiTheme="minorHAnsi" w:cs="Calibri"/>
                <w:b/>
                <w:bCs/>
                <w:color w:val="000000"/>
                <w:sz w:val="24"/>
                <w:szCs w:val="24"/>
                <w:lang w:eastAsia="en-NZ"/>
              </w:rPr>
              <w:t>)</w:t>
            </w:r>
            <w:bookmarkEnd w:id="0"/>
          </w:p>
        </w:tc>
      </w:tr>
      <w:tr w:rsidR="00053B1B" w:rsidRPr="000C21B7" w14:paraId="686F31F4" w14:textId="77777777" w:rsidTr="00053B1B">
        <w:trPr>
          <w:trHeight w:val="536"/>
        </w:trPr>
        <w:tc>
          <w:tcPr>
            <w:tcW w:w="14058" w:type="dxa"/>
            <w:gridSpan w:val="3"/>
            <w:tcBorders>
              <w:bottom w:val="single" w:sz="4" w:space="0" w:color="auto"/>
            </w:tcBorders>
            <w:shd w:val="clear" w:color="auto" w:fill="auto"/>
          </w:tcPr>
          <w:p w14:paraId="193D86F5" w14:textId="78814CAC" w:rsidR="00053B1B" w:rsidRPr="0022022E" w:rsidRDefault="00053B1B"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Committee is interested in the uptake of the Commission’s recommendations.</w:t>
            </w:r>
          </w:p>
        </w:tc>
      </w:tr>
      <w:tr w:rsidR="00497B95" w:rsidRPr="000C21B7" w14:paraId="66C1A316" w14:textId="77777777" w:rsidTr="002B0A5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2CBF09" w14:textId="4E511D39"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1</w:t>
            </w:r>
            <w:r w:rsidR="00D872B4">
              <w:rPr>
                <w:rFonts w:asciiTheme="minorHAnsi" w:eastAsia="Times New Roman" w:hAnsiTheme="minorHAnsi" w:cstheme="minorHAnsi"/>
                <w:color w:val="000000"/>
                <w:szCs w:val="20"/>
                <w:lang w:eastAsia="en-NZ"/>
              </w:rPr>
              <w:t>13</w:t>
            </w:r>
          </w:p>
        </w:tc>
        <w:tc>
          <w:tcPr>
            <w:tcW w:w="5859" w:type="dxa"/>
            <w:tcBorders>
              <w:top w:val="single" w:sz="4" w:space="0" w:color="auto"/>
              <w:left w:val="nil"/>
              <w:bottom w:val="single" w:sz="4" w:space="0" w:color="auto"/>
              <w:right w:val="single" w:sz="4" w:space="0" w:color="auto"/>
            </w:tcBorders>
            <w:shd w:val="clear" w:color="auto" w:fill="auto"/>
            <w:hideMark/>
          </w:tcPr>
          <w:p w14:paraId="20A95E4A" w14:textId="1B24EE05" w:rsidR="00497B95" w:rsidRPr="0022022E" w:rsidRDefault="003E1CFD" w:rsidP="002B0A5F">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How have the Government and other stakeholders responded to the main </w:t>
            </w:r>
            <w:r w:rsidR="001B647A">
              <w:rPr>
                <w:rFonts w:asciiTheme="minorHAnsi" w:eastAsia="Times New Roman" w:hAnsiTheme="minorHAnsi" w:cstheme="minorHAnsi"/>
                <w:color w:val="000000"/>
                <w:szCs w:val="20"/>
                <w:lang w:eastAsia="en-NZ"/>
              </w:rPr>
              <w:t>recommendation</w:t>
            </w:r>
            <w:r>
              <w:rPr>
                <w:rFonts w:asciiTheme="minorHAnsi" w:eastAsia="Times New Roman" w:hAnsiTheme="minorHAnsi" w:cstheme="minorHAnsi"/>
                <w:color w:val="000000"/>
                <w:szCs w:val="20"/>
                <w:lang w:eastAsia="en-NZ"/>
              </w:rPr>
              <w:t xml:space="preserve"> of Measuring and improving state sector </w:t>
            </w:r>
            <w:r w:rsidR="001B647A">
              <w:rPr>
                <w:rFonts w:asciiTheme="minorHAnsi" w:eastAsia="Times New Roman" w:hAnsiTheme="minorHAnsi" w:cstheme="minorHAnsi"/>
                <w:color w:val="000000"/>
                <w:szCs w:val="20"/>
                <w:lang w:eastAsia="en-NZ"/>
              </w:rPr>
              <w:t>productivity</w:t>
            </w:r>
            <w:r>
              <w:rPr>
                <w:rFonts w:asciiTheme="minorHAnsi" w:eastAsia="Times New Roman" w:hAnsiTheme="minorHAnsi" w:cstheme="minorHAnsi"/>
                <w:color w:val="000000"/>
                <w:szCs w:val="20"/>
                <w:lang w:eastAsia="en-NZ"/>
              </w:rPr>
              <w:t>, and Transitioning to a low-emissions economy (including the recommendations the Government has implemented)?</w:t>
            </w:r>
          </w:p>
        </w:tc>
        <w:tc>
          <w:tcPr>
            <w:tcW w:w="7650" w:type="dxa"/>
            <w:tcBorders>
              <w:top w:val="single" w:sz="4" w:space="0" w:color="auto"/>
              <w:left w:val="nil"/>
              <w:bottom w:val="single" w:sz="4" w:space="0" w:color="auto"/>
              <w:right w:val="single" w:sz="4" w:space="0" w:color="auto"/>
            </w:tcBorders>
            <w:shd w:val="clear" w:color="auto" w:fill="auto"/>
            <w:noWrap/>
          </w:tcPr>
          <w:p w14:paraId="54CAB62A" w14:textId="14DB4728" w:rsidR="002B0A5F" w:rsidRDefault="002B0A5F" w:rsidP="002B0A5F">
            <w:pPr>
              <w:spacing w:before="120" w:after="120" w:line="240" w:lineRule="auto"/>
              <w:rPr>
                <w:rFonts w:asciiTheme="minorHAnsi" w:eastAsia="Times New Roman" w:hAnsiTheme="minorHAnsi" w:cstheme="minorHAnsi"/>
                <w:color w:val="000000"/>
                <w:szCs w:val="20"/>
                <w:lang w:eastAsia="en-NZ"/>
              </w:rPr>
            </w:pPr>
            <w:r w:rsidRPr="002B0A5F">
              <w:rPr>
                <w:rFonts w:asciiTheme="minorHAnsi" w:eastAsia="Times New Roman" w:hAnsiTheme="minorHAnsi" w:cstheme="minorHAnsi"/>
                <w:color w:val="000000"/>
                <w:szCs w:val="20"/>
                <w:lang w:eastAsia="en-NZ"/>
              </w:rPr>
              <w:t xml:space="preserve">The formal Government response to the Commission’s reports on </w:t>
            </w:r>
            <w:r w:rsidRPr="002B0A5F">
              <w:rPr>
                <w:rFonts w:asciiTheme="minorHAnsi" w:eastAsia="Times New Roman" w:hAnsiTheme="minorHAnsi" w:cstheme="minorHAnsi"/>
                <w:i/>
                <w:color w:val="000000"/>
                <w:szCs w:val="20"/>
                <w:lang w:eastAsia="en-NZ"/>
              </w:rPr>
              <w:t xml:space="preserve">Measuring and Improving State Sector Productivity </w:t>
            </w:r>
            <w:r w:rsidRPr="002B0A5F">
              <w:rPr>
                <w:rFonts w:asciiTheme="minorHAnsi" w:eastAsia="Times New Roman" w:hAnsiTheme="minorHAnsi" w:cstheme="minorHAnsi"/>
                <w:color w:val="000000"/>
                <w:szCs w:val="20"/>
                <w:lang w:eastAsia="en-NZ"/>
              </w:rPr>
              <w:t xml:space="preserve">was issued on 27 February 2019 is linked here: </w:t>
            </w:r>
            <w:hyperlink r:id="rId13" w:history="1">
              <w:r w:rsidRPr="002B0A5F">
                <w:rPr>
                  <w:rStyle w:val="Hyperlink"/>
                  <w:rFonts w:asciiTheme="minorHAnsi" w:eastAsia="Times New Roman" w:hAnsiTheme="minorHAnsi" w:cstheme="minorHAnsi"/>
                  <w:szCs w:val="20"/>
                  <w:lang w:eastAsia="en-NZ"/>
                </w:rPr>
                <w:t>Govt Response to State Sector Productivity Inquiry Report</w:t>
              </w:r>
            </w:hyperlink>
            <w:r w:rsidRPr="002B0A5F">
              <w:rPr>
                <w:rFonts w:asciiTheme="minorHAnsi" w:eastAsia="Times New Roman" w:hAnsiTheme="minorHAnsi" w:cstheme="minorHAnsi"/>
                <w:color w:val="000000"/>
                <w:szCs w:val="20"/>
                <w:lang w:eastAsia="en-NZ"/>
              </w:rPr>
              <w:t xml:space="preserve">. </w:t>
            </w:r>
            <w:r>
              <w:rPr>
                <w:rFonts w:asciiTheme="minorHAnsi" w:eastAsia="Times New Roman" w:hAnsiTheme="minorHAnsi" w:cstheme="minorHAnsi"/>
                <w:color w:val="000000"/>
                <w:szCs w:val="20"/>
                <w:lang w:eastAsia="en-NZ"/>
              </w:rPr>
              <w:t>There is a</w:t>
            </w:r>
            <w:r w:rsidR="00363C92">
              <w:rPr>
                <w:rFonts w:asciiTheme="minorHAnsi" w:eastAsia="Times New Roman" w:hAnsiTheme="minorHAnsi" w:cstheme="minorHAnsi"/>
                <w:color w:val="000000"/>
                <w:szCs w:val="20"/>
                <w:lang w:eastAsia="en-NZ"/>
              </w:rPr>
              <w:t>lso a</w:t>
            </w:r>
            <w:r>
              <w:rPr>
                <w:rFonts w:asciiTheme="minorHAnsi" w:eastAsia="Times New Roman" w:hAnsiTheme="minorHAnsi" w:cstheme="minorHAnsi"/>
                <w:color w:val="000000"/>
                <w:szCs w:val="20"/>
                <w:lang w:eastAsia="en-NZ"/>
              </w:rPr>
              <w:t xml:space="preserve"> wide range of useful information on the </w:t>
            </w:r>
            <w:r w:rsidR="00DA65E8">
              <w:rPr>
                <w:rFonts w:asciiTheme="minorHAnsi" w:eastAsia="Times New Roman" w:hAnsiTheme="minorHAnsi" w:cstheme="minorHAnsi"/>
                <w:color w:val="000000"/>
                <w:szCs w:val="20"/>
                <w:lang w:eastAsia="en-NZ"/>
              </w:rPr>
              <w:t xml:space="preserve">inquiry’s </w:t>
            </w:r>
            <w:r>
              <w:rPr>
                <w:rFonts w:asciiTheme="minorHAnsi" w:eastAsia="Times New Roman" w:hAnsiTheme="minorHAnsi" w:cstheme="minorHAnsi"/>
                <w:color w:val="000000"/>
                <w:szCs w:val="20"/>
                <w:lang w:eastAsia="en-NZ"/>
              </w:rPr>
              <w:t xml:space="preserve">webpage </w:t>
            </w:r>
            <w:hyperlink r:id="rId14" w:history="1">
              <w:r>
                <w:rPr>
                  <w:rStyle w:val="Hyperlink"/>
                  <w:rFonts w:asciiTheme="minorHAnsi" w:eastAsia="Times New Roman" w:hAnsiTheme="minorHAnsi" w:cstheme="minorHAnsi"/>
                  <w:szCs w:val="20"/>
                  <w:lang w:eastAsia="en-NZ"/>
                </w:rPr>
                <w:t>State Sector Productivity Inquiry Webpage</w:t>
              </w:r>
            </w:hyperlink>
            <w:r w:rsidR="00DA65E8">
              <w:rPr>
                <w:rFonts w:asciiTheme="minorHAnsi" w:eastAsia="Times New Roman" w:hAnsiTheme="minorHAnsi" w:cstheme="minorHAnsi"/>
                <w:color w:val="000000"/>
                <w:szCs w:val="20"/>
                <w:lang w:eastAsia="en-NZ"/>
              </w:rPr>
              <w:t xml:space="preserve"> including independent evaluation and feedback on the process and content of the inquiry. The Commission’s </w:t>
            </w:r>
            <w:hyperlink r:id="rId15" w:history="1">
              <w:r w:rsidR="00DA65E8" w:rsidRPr="00DA65E8">
                <w:rPr>
                  <w:rStyle w:val="Hyperlink"/>
                  <w:rFonts w:asciiTheme="minorHAnsi" w:eastAsia="Times New Roman" w:hAnsiTheme="minorHAnsi" w:cstheme="minorHAnsi"/>
                  <w:i/>
                  <w:szCs w:val="20"/>
                  <w:lang w:eastAsia="en-NZ"/>
                </w:rPr>
                <w:t>2017/18 Annual Report</w:t>
              </w:r>
            </w:hyperlink>
            <w:r w:rsidR="00DA65E8">
              <w:rPr>
                <w:rFonts w:asciiTheme="minorHAnsi" w:eastAsia="Times New Roman" w:hAnsiTheme="minorHAnsi" w:cstheme="minorHAnsi"/>
                <w:color w:val="000000"/>
                <w:szCs w:val="20"/>
                <w:lang w:eastAsia="en-NZ"/>
              </w:rPr>
              <w:t xml:space="preserve"> also highlights various stakeholder responses and reactions to the inquiry.</w:t>
            </w:r>
          </w:p>
          <w:p w14:paraId="1C930232" w14:textId="467294C5" w:rsidR="009C5579" w:rsidRPr="002B0A5F" w:rsidRDefault="00DA65E8" w:rsidP="002B0A5F">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While the Government has yet to issue a formal response the Commission’s </w:t>
            </w:r>
            <w:hyperlink r:id="rId16" w:history="1">
              <w:r w:rsidRPr="00DA65E8">
                <w:rPr>
                  <w:rStyle w:val="Hyperlink"/>
                  <w:rFonts w:asciiTheme="minorHAnsi" w:eastAsia="Times New Roman" w:hAnsiTheme="minorHAnsi" w:cstheme="minorHAnsi"/>
                  <w:i/>
                  <w:szCs w:val="20"/>
                  <w:lang w:eastAsia="en-NZ"/>
                </w:rPr>
                <w:t>2017/18 Annual Report</w:t>
              </w:r>
            </w:hyperlink>
            <w:r>
              <w:rPr>
                <w:rFonts w:asciiTheme="minorHAnsi" w:eastAsia="Times New Roman" w:hAnsiTheme="minorHAnsi" w:cstheme="minorHAnsi"/>
                <w:i/>
                <w:color w:val="000000"/>
                <w:szCs w:val="20"/>
                <w:lang w:eastAsia="en-NZ"/>
              </w:rPr>
              <w:t xml:space="preserve"> </w:t>
            </w:r>
            <w:r>
              <w:rPr>
                <w:rFonts w:asciiTheme="minorHAnsi" w:eastAsia="Times New Roman" w:hAnsiTheme="minorHAnsi" w:cstheme="minorHAnsi"/>
                <w:color w:val="000000"/>
                <w:szCs w:val="20"/>
                <w:lang w:eastAsia="en-NZ"/>
              </w:rPr>
              <w:t xml:space="preserve">does include some coverage of responses and reactions to the </w:t>
            </w:r>
            <w:r>
              <w:rPr>
                <w:rFonts w:asciiTheme="minorHAnsi" w:eastAsia="Times New Roman" w:hAnsiTheme="minorHAnsi" w:cstheme="minorHAnsi"/>
                <w:i/>
                <w:color w:val="000000"/>
                <w:szCs w:val="20"/>
                <w:lang w:eastAsia="en-NZ"/>
              </w:rPr>
              <w:t xml:space="preserve">Low-emission’s economy </w:t>
            </w:r>
            <w:r>
              <w:rPr>
                <w:rFonts w:asciiTheme="minorHAnsi" w:eastAsia="Times New Roman" w:hAnsiTheme="minorHAnsi" w:cstheme="minorHAnsi"/>
                <w:color w:val="000000"/>
                <w:szCs w:val="20"/>
                <w:lang w:eastAsia="en-NZ"/>
              </w:rPr>
              <w:t>inquiry.</w:t>
            </w:r>
          </w:p>
        </w:tc>
      </w:tr>
      <w:tr w:rsidR="00DC6A1D" w:rsidRPr="006E4906" w14:paraId="6117F742" w14:textId="77777777" w:rsidTr="00E060DF">
        <w:trPr>
          <w:trHeight w:val="717"/>
        </w:trPr>
        <w:tc>
          <w:tcPr>
            <w:tcW w:w="549" w:type="dxa"/>
            <w:tcBorders>
              <w:top w:val="nil"/>
              <w:left w:val="single" w:sz="4" w:space="0" w:color="auto"/>
              <w:bottom w:val="single" w:sz="4" w:space="0" w:color="auto"/>
              <w:right w:val="single" w:sz="4" w:space="0" w:color="auto"/>
            </w:tcBorders>
            <w:shd w:val="clear" w:color="auto" w:fill="auto"/>
          </w:tcPr>
          <w:p w14:paraId="0A37B09E" w14:textId="48CA2D97" w:rsidR="00DC6A1D" w:rsidRDefault="00CD4BA3"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114</w:t>
            </w:r>
          </w:p>
        </w:tc>
        <w:tc>
          <w:tcPr>
            <w:tcW w:w="5859" w:type="dxa"/>
            <w:tcBorders>
              <w:top w:val="nil"/>
              <w:left w:val="nil"/>
              <w:bottom w:val="single" w:sz="4" w:space="0" w:color="auto"/>
              <w:right w:val="single" w:sz="4" w:space="0" w:color="auto"/>
            </w:tcBorders>
            <w:shd w:val="clear" w:color="auto" w:fill="auto"/>
          </w:tcPr>
          <w:p w14:paraId="157F4590" w14:textId="2C6A7769" w:rsidR="00DC6A1D" w:rsidRDefault="00CD4BA3" w:rsidP="00E060DF">
            <w:pPr>
              <w:widowControl w:val="0"/>
              <w:tabs>
                <w:tab w:val="left" w:pos="364"/>
              </w:tabs>
              <w:autoSpaceDE w:val="0"/>
              <w:autoSpaceDN w:val="0"/>
              <w:spacing w:before="120" w:after="120" w:line="240" w:lineRule="auto"/>
              <w:ind w:right="336"/>
              <w:rPr>
                <w:rFonts w:asciiTheme="minorHAnsi" w:hAnsiTheme="minorHAnsi" w:cstheme="minorHAnsi"/>
                <w:szCs w:val="20"/>
              </w:rPr>
            </w:pPr>
            <w:r>
              <w:rPr>
                <w:rFonts w:asciiTheme="minorHAnsi" w:hAnsiTheme="minorHAnsi" w:cstheme="minorHAnsi"/>
                <w:szCs w:val="20"/>
              </w:rPr>
              <w:t>What are the implications of the Commission’s recommendations in these two reports for change in the public sector, and what responses have there been from public sector agencies</w:t>
            </w:r>
            <w:r w:rsidRPr="0022022E">
              <w:rPr>
                <w:rFonts w:asciiTheme="minorHAnsi" w:hAnsiTheme="minorHAnsi" w:cstheme="minorHAnsi"/>
                <w:szCs w:val="20"/>
              </w:rPr>
              <w:t>?</w:t>
            </w:r>
          </w:p>
        </w:tc>
        <w:tc>
          <w:tcPr>
            <w:tcW w:w="7650" w:type="dxa"/>
            <w:tcBorders>
              <w:top w:val="nil"/>
              <w:left w:val="nil"/>
              <w:bottom w:val="single" w:sz="4" w:space="0" w:color="auto"/>
              <w:right w:val="single" w:sz="4" w:space="0" w:color="auto"/>
            </w:tcBorders>
            <w:shd w:val="clear" w:color="auto" w:fill="auto"/>
            <w:noWrap/>
          </w:tcPr>
          <w:p w14:paraId="7FA9643C" w14:textId="77777777" w:rsidR="00CD4BA3" w:rsidRPr="00CD4BA3" w:rsidRDefault="00CD4BA3" w:rsidP="00CD4BA3">
            <w:pPr>
              <w:spacing w:before="120" w:after="120" w:line="240" w:lineRule="auto"/>
              <w:rPr>
                <w:rFonts w:asciiTheme="minorHAnsi" w:hAnsiTheme="minorHAnsi" w:cstheme="minorHAnsi"/>
                <w:szCs w:val="20"/>
                <w:lang w:val="en" w:eastAsia="en-NZ"/>
              </w:rPr>
            </w:pPr>
            <w:r w:rsidRPr="00CD4BA3">
              <w:rPr>
                <w:rFonts w:asciiTheme="minorHAnsi" w:hAnsiTheme="minorHAnsi" w:cstheme="minorHAnsi"/>
                <w:bCs/>
                <w:szCs w:val="20"/>
                <w:lang w:val="en" w:eastAsia="en-NZ"/>
              </w:rPr>
              <w:t xml:space="preserve">The inquiry on </w:t>
            </w:r>
            <w:r w:rsidRPr="00CD4BA3">
              <w:rPr>
                <w:rFonts w:asciiTheme="minorHAnsi" w:eastAsia="Times New Roman" w:hAnsiTheme="minorHAnsi" w:cstheme="minorHAnsi"/>
                <w:i/>
                <w:szCs w:val="20"/>
                <w:lang w:eastAsia="en-NZ"/>
              </w:rPr>
              <w:t>Measuring and Improving State Sector Productivity</w:t>
            </w:r>
            <w:r w:rsidRPr="00CD4BA3">
              <w:rPr>
                <w:rFonts w:asciiTheme="minorHAnsi" w:hAnsiTheme="minorHAnsi" w:cstheme="minorHAnsi"/>
                <w:bCs/>
                <w:szCs w:val="20"/>
                <w:lang w:val="en" w:eastAsia="en-NZ"/>
              </w:rPr>
              <w:t xml:space="preserve"> found that:</w:t>
            </w:r>
          </w:p>
          <w:p w14:paraId="20774770" w14:textId="77777777" w:rsidR="00CD4BA3" w:rsidRPr="00CD4BA3" w:rsidRDefault="00CD4BA3" w:rsidP="00CD4BA3">
            <w:pPr>
              <w:pStyle w:val="ListParagraph"/>
              <w:numPr>
                <w:ilvl w:val="0"/>
                <w:numId w:val="21"/>
              </w:numPr>
              <w:spacing w:before="120" w:after="120" w:line="240" w:lineRule="auto"/>
              <w:ind w:left="489" w:hanging="284"/>
              <w:contextualSpacing w:val="0"/>
              <w:rPr>
                <w:rFonts w:asciiTheme="minorHAnsi" w:eastAsia="Times New Roman" w:hAnsiTheme="minorHAnsi" w:cstheme="minorHAnsi"/>
                <w:szCs w:val="20"/>
                <w:lang w:val="en" w:eastAsia="en-NZ"/>
              </w:rPr>
            </w:pPr>
            <w:r w:rsidRPr="00CD4BA3">
              <w:rPr>
                <w:rFonts w:asciiTheme="minorHAnsi" w:eastAsia="Times New Roman" w:hAnsiTheme="minorHAnsi" w:cstheme="minorHAnsi"/>
                <w:szCs w:val="20"/>
                <w:lang w:val="en" w:eastAsia="en-NZ"/>
              </w:rPr>
              <w:t>State sector productivity isn’t regularly measured because there is little demand from state sector leaders for measurement, therefore little effort is put into building the capability to measure</w:t>
            </w:r>
          </w:p>
          <w:p w14:paraId="1AFC4E0F" w14:textId="77777777" w:rsidR="00CD4BA3" w:rsidRPr="00CD4BA3" w:rsidRDefault="00CD4BA3" w:rsidP="00CD4BA3">
            <w:pPr>
              <w:pStyle w:val="ListParagraph"/>
              <w:numPr>
                <w:ilvl w:val="0"/>
                <w:numId w:val="21"/>
              </w:numPr>
              <w:spacing w:before="120" w:after="120" w:line="240" w:lineRule="auto"/>
              <w:ind w:left="489" w:hanging="284"/>
              <w:contextualSpacing w:val="0"/>
              <w:rPr>
                <w:rFonts w:asciiTheme="minorHAnsi" w:eastAsia="Times New Roman" w:hAnsiTheme="minorHAnsi" w:cstheme="minorHAnsi"/>
                <w:szCs w:val="20"/>
                <w:lang w:val="en" w:eastAsia="en-NZ"/>
              </w:rPr>
            </w:pPr>
            <w:r w:rsidRPr="00CD4BA3">
              <w:rPr>
                <w:rFonts w:asciiTheme="minorHAnsi" w:eastAsia="Times New Roman" w:hAnsiTheme="minorHAnsi" w:cstheme="minorHAnsi"/>
                <w:szCs w:val="20"/>
                <w:lang w:val="en" w:eastAsia="en-NZ"/>
              </w:rPr>
              <w:t>Budget and performance management processes don’t reward productivity improvement</w:t>
            </w:r>
          </w:p>
          <w:p w14:paraId="2CDBD826" w14:textId="77777777" w:rsidR="00CD4BA3" w:rsidRPr="00CD4BA3" w:rsidRDefault="00CD4BA3" w:rsidP="00CD4BA3">
            <w:pPr>
              <w:pStyle w:val="ListParagraph"/>
              <w:numPr>
                <w:ilvl w:val="0"/>
                <w:numId w:val="21"/>
              </w:numPr>
              <w:spacing w:before="120" w:after="120" w:line="240" w:lineRule="auto"/>
              <w:ind w:left="489" w:hanging="284"/>
              <w:contextualSpacing w:val="0"/>
              <w:rPr>
                <w:rFonts w:asciiTheme="minorHAnsi" w:eastAsia="Times New Roman" w:hAnsiTheme="minorHAnsi" w:cstheme="minorHAnsi"/>
                <w:szCs w:val="20"/>
                <w:lang w:val="en" w:eastAsia="en-NZ"/>
              </w:rPr>
            </w:pPr>
            <w:r w:rsidRPr="00CD4BA3">
              <w:rPr>
                <w:rFonts w:asciiTheme="minorHAnsi" w:eastAsia="Times New Roman" w:hAnsiTheme="minorHAnsi" w:cstheme="minorHAnsi"/>
                <w:szCs w:val="20"/>
                <w:lang w:val="en" w:eastAsia="en-NZ"/>
              </w:rPr>
              <w:t>There are some promising developments, particularly in the use of data and evidence to better understand the effectiveness of programmes</w:t>
            </w:r>
          </w:p>
          <w:p w14:paraId="3DB263BF" w14:textId="5777E011" w:rsidR="00CD4BA3" w:rsidRPr="00CD4BA3" w:rsidRDefault="00CD4BA3" w:rsidP="00CD4BA3">
            <w:pPr>
              <w:pStyle w:val="ListParagraph"/>
              <w:numPr>
                <w:ilvl w:val="0"/>
                <w:numId w:val="21"/>
              </w:numPr>
              <w:spacing w:before="120" w:after="120" w:line="240" w:lineRule="auto"/>
              <w:ind w:left="489" w:hanging="284"/>
              <w:contextualSpacing w:val="0"/>
              <w:rPr>
                <w:rFonts w:asciiTheme="minorHAnsi" w:eastAsia="Times New Roman" w:hAnsiTheme="minorHAnsi" w:cstheme="minorHAnsi"/>
                <w:szCs w:val="20"/>
                <w:lang w:val="en" w:eastAsia="en-NZ"/>
              </w:rPr>
            </w:pPr>
            <w:r w:rsidRPr="00CD4BA3">
              <w:rPr>
                <w:rFonts w:asciiTheme="minorHAnsi" w:eastAsia="Times New Roman" w:hAnsiTheme="minorHAnsi" w:cstheme="minorHAnsi"/>
                <w:szCs w:val="20"/>
                <w:lang w:val="en" w:eastAsia="en-NZ"/>
              </w:rPr>
              <w:t>Innovation is the key to improving productivity but state sector organisations often lack the characteristics that encourage innovation</w:t>
            </w:r>
          </w:p>
          <w:p w14:paraId="17760D54" w14:textId="77777777" w:rsidR="00DC6A1D" w:rsidRPr="00CD4BA3" w:rsidRDefault="00DC6A1D" w:rsidP="00CD4BA3">
            <w:pPr>
              <w:spacing w:before="120" w:after="120" w:line="240" w:lineRule="auto"/>
              <w:rPr>
                <w:rFonts w:asciiTheme="minorHAnsi" w:eastAsia="Times New Roman" w:hAnsiTheme="minorHAnsi" w:cstheme="minorHAnsi"/>
                <w:szCs w:val="20"/>
                <w:lang w:val="en" w:eastAsia="en-NZ"/>
              </w:rPr>
            </w:pPr>
            <w:r w:rsidRPr="00CD4BA3">
              <w:rPr>
                <w:rFonts w:asciiTheme="minorHAnsi" w:hAnsiTheme="minorHAnsi" w:cstheme="minorHAnsi"/>
                <w:bCs/>
                <w:szCs w:val="20"/>
                <w:lang w:val="en" w:eastAsia="en-NZ"/>
              </w:rPr>
              <w:t>The inquiry suggested that The T</w:t>
            </w:r>
            <w:r w:rsidRPr="00CD4BA3">
              <w:rPr>
                <w:rFonts w:asciiTheme="minorHAnsi" w:hAnsiTheme="minorHAnsi" w:cstheme="minorHAnsi"/>
                <w:szCs w:val="20"/>
                <w:lang w:val="en" w:eastAsia="en-NZ"/>
              </w:rPr>
              <w:t xml:space="preserve">reasury, State Services Commission, ministers and government agency chief executives all have roles to play in </w:t>
            </w:r>
            <w:r w:rsidRPr="00CD4BA3">
              <w:rPr>
                <w:rFonts w:asciiTheme="minorHAnsi" w:eastAsia="Times New Roman" w:hAnsiTheme="minorHAnsi" w:cstheme="minorHAnsi"/>
                <w:szCs w:val="20"/>
                <w:lang w:val="en" w:eastAsia="en-NZ"/>
              </w:rPr>
              <w:t>setting clearer expectations for productivity gain, building capability to measure, reporting on core public service efficiency, raising the bar on the quality of new spending proposals in the budget, funding results and outcomes rather than inputs, and that the state sector needs to build agencies’ capability to measure productivity</w:t>
            </w:r>
            <w:r w:rsidR="00CD4BA3" w:rsidRPr="00CD4BA3">
              <w:rPr>
                <w:rFonts w:asciiTheme="minorHAnsi" w:eastAsia="Times New Roman" w:hAnsiTheme="minorHAnsi" w:cstheme="minorHAnsi"/>
                <w:szCs w:val="20"/>
                <w:lang w:val="en" w:eastAsia="en-NZ"/>
              </w:rPr>
              <w:t>.</w:t>
            </w:r>
          </w:p>
          <w:p w14:paraId="46BCE95B" w14:textId="77777777" w:rsidR="00CD4BA3" w:rsidRPr="00CD4BA3" w:rsidRDefault="00CD4BA3" w:rsidP="00CD4BA3">
            <w:pPr>
              <w:spacing w:before="120" w:after="120" w:line="240" w:lineRule="auto"/>
              <w:rPr>
                <w:rFonts w:asciiTheme="minorHAnsi" w:hAnsiTheme="minorHAnsi" w:cstheme="minorHAnsi"/>
                <w:szCs w:val="20"/>
              </w:rPr>
            </w:pPr>
            <w:r w:rsidRPr="00CD4BA3">
              <w:rPr>
                <w:rFonts w:asciiTheme="minorHAnsi" w:eastAsia="Times New Roman" w:hAnsiTheme="minorHAnsi" w:cstheme="minorHAnsi"/>
                <w:szCs w:val="20"/>
                <w:lang w:val="en" w:eastAsia="en-NZ"/>
              </w:rPr>
              <w:lastRenderedPageBreak/>
              <w:t>The Government response to the inquiry picks-up on a number of these areas and highlights that “</w:t>
            </w:r>
            <w:r w:rsidRPr="00DC6A1D">
              <w:rPr>
                <w:rFonts w:asciiTheme="minorHAnsi" w:hAnsiTheme="minorHAnsi" w:cstheme="minorHAnsi"/>
                <w:szCs w:val="20"/>
              </w:rPr>
              <w:t>the Public Service is not working well for everyone and struggles in responding to complex needs and issues, and the longer-term opportunities and risks facing New Zealand. It has created incentives for risk aversion, inhibited innovation, reduced the ability to respond rapidly, fostered silos through vertical accountability and created a focus on the short-term</w:t>
            </w:r>
            <w:r w:rsidRPr="00CD4BA3">
              <w:rPr>
                <w:rFonts w:asciiTheme="minorHAnsi" w:hAnsiTheme="minorHAnsi" w:cstheme="minorHAnsi"/>
                <w:szCs w:val="20"/>
              </w:rPr>
              <w:t>”. To address these issues the Government response notes the intent of the current reform processes related to the public management and finance system, including changes to the State Sector Act 1988 and the Public Finance Act 1989, that “are working towards the common objective of a modern, agile, flexible, innovative and joined-up Public Service to improve intergenerational wellbeing”.</w:t>
            </w:r>
          </w:p>
          <w:p w14:paraId="61F42601" w14:textId="4491D2C9" w:rsidR="00CD4BA3" w:rsidRPr="00CD4BA3" w:rsidRDefault="00CD4BA3" w:rsidP="00CD4BA3">
            <w:pPr>
              <w:spacing w:before="120" w:after="120" w:line="240" w:lineRule="auto"/>
              <w:rPr>
                <w:rFonts w:asciiTheme="minorHAnsi" w:eastAsia="Times New Roman" w:hAnsiTheme="minorHAnsi" w:cstheme="minorHAnsi"/>
                <w:szCs w:val="20"/>
                <w:lang w:val="en" w:eastAsia="en-NZ"/>
              </w:rPr>
            </w:pPr>
            <w:r w:rsidRPr="00CD4BA3">
              <w:rPr>
                <w:rFonts w:asciiTheme="minorHAnsi" w:hAnsiTheme="minorHAnsi" w:cstheme="minorHAnsi"/>
                <w:szCs w:val="20"/>
              </w:rPr>
              <w:t xml:space="preserve">As noted earlier the Government has not yet issued a formal response to the inquiry considering how New Zealand could transition to a </w:t>
            </w:r>
            <w:r w:rsidRPr="00CD4BA3">
              <w:rPr>
                <w:rFonts w:asciiTheme="minorHAnsi" w:hAnsiTheme="minorHAnsi" w:cstheme="minorHAnsi"/>
                <w:i/>
                <w:szCs w:val="20"/>
              </w:rPr>
              <w:t xml:space="preserve">Low-emission’s economy. </w:t>
            </w:r>
            <w:r w:rsidRPr="00CD4BA3">
              <w:rPr>
                <w:rFonts w:asciiTheme="minorHAnsi" w:hAnsiTheme="minorHAnsi" w:cstheme="minorHAnsi"/>
                <w:szCs w:val="20"/>
              </w:rPr>
              <w:t>In regard to such a transition, however, the inquiry did find that n</w:t>
            </w:r>
            <w:r w:rsidRPr="00CD4BA3">
              <w:rPr>
                <w:rFonts w:asciiTheme="minorHAnsi" w:eastAsia="Times New Roman" w:hAnsiTheme="minorHAnsi" w:cstheme="minorHAnsi"/>
                <w:szCs w:val="20"/>
                <w:lang w:val="en" w:eastAsia="en-NZ"/>
              </w:rPr>
              <w:t>umerous changes will be required across the economy – some disruptive, some less obvious. Three particular shifts were highlighted for New Zealand to achieve its low-emissions goals:</w:t>
            </w:r>
          </w:p>
          <w:p w14:paraId="6E62EAE6" w14:textId="31AB9FF5" w:rsidR="00CD4BA3" w:rsidRPr="00CD4BA3" w:rsidRDefault="00CD4BA3" w:rsidP="00CD4BA3">
            <w:pPr>
              <w:numPr>
                <w:ilvl w:val="0"/>
                <w:numId w:val="25"/>
              </w:numPr>
              <w:tabs>
                <w:tab w:val="clear" w:pos="720"/>
                <w:tab w:val="num" w:pos="489"/>
              </w:tabs>
              <w:spacing w:before="120" w:after="120" w:line="240" w:lineRule="auto"/>
              <w:ind w:left="489" w:right="135" w:hanging="284"/>
              <w:rPr>
                <w:rFonts w:asciiTheme="minorHAnsi" w:eastAsia="Times New Roman" w:hAnsiTheme="minorHAnsi" w:cstheme="minorHAnsi"/>
                <w:szCs w:val="20"/>
                <w:lang w:val="en" w:eastAsia="en-NZ"/>
              </w:rPr>
            </w:pPr>
            <w:r>
              <w:rPr>
                <w:rFonts w:asciiTheme="minorHAnsi" w:eastAsia="Times New Roman" w:hAnsiTheme="minorHAnsi" w:cstheme="minorHAnsi"/>
                <w:bCs/>
                <w:szCs w:val="20"/>
                <w:lang w:val="en" w:eastAsia="en-NZ"/>
              </w:rPr>
              <w:t>S</w:t>
            </w:r>
            <w:r w:rsidRPr="00CD4BA3">
              <w:rPr>
                <w:rFonts w:asciiTheme="minorHAnsi" w:eastAsia="Times New Roman" w:hAnsiTheme="minorHAnsi" w:cstheme="minorHAnsi"/>
                <w:bCs/>
                <w:szCs w:val="20"/>
                <w:lang w:val="en" w:eastAsia="en-NZ"/>
              </w:rPr>
              <w:t>top burning fossil fuels and switch to using electricity and other low-emission energy sources</w:t>
            </w:r>
            <w:r w:rsidRPr="00CD4BA3">
              <w:rPr>
                <w:rFonts w:asciiTheme="minorHAnsi" w:eastAsia="Times New Roman" w:hAnsiTheme="minorHAnsi" w:cstheme="minorHAnsi"/>
                <w:szCs w:val="20"/>
                <w:lang w:val="en" w:eastAsia="en-NZ"/>
              </w:rPr>
              <w:t>. This means a rapid and comprehensive switch of the light vehicle fleet to electric vehicles and other very low-emissions vehicles, and a switch away from fossil fuels in providing process heat for industry</w:t>
            </w:r>
          </w:p>
          <w:p w14:paraId="63DA6107" w14:textId="4BAC2371" w:rsidR="00CD4BA3" w:rsidRPr="00CD4BA3" w:rsidRDefault="00CD4BA3" w:rsidP="00CD4BA3">
            <w:pPr>
              <w:numPr>
                <w:ilvl w:val="0"/>
                <w:numId w:val="25"/>
              </w:numPr>
              <w:tabs>
                <w:tab w:val="clear" w:pos="720"/>
                <w:tab w:val="num" w:pos="489"/>
              </w:tabs>
              <w:spacing w:before="120" w:after="120" w:line="240" w:lineRule="auto"/>
              <w:ind w:left="489" w:right="135" w:hanging="284"/>
              <w:rPr>
                <w:rFonts w:asciiTheme="minorHAnsi" w:eastAsia="Times New Roman" w:hAnsiTheme="minorHAnsi" w:cstheme="minorHAnsi"/>
                <w:szCs w:val="20"/>
                <w:lang w:val="en" w:eastAsia="en-NZ"/>
              </w:rPr>
            </w:pPr>
            <w:r>
              <w:rPr>
                <w:rFonts w:asciiTheme="minorHAnsi" w:eastAsia="Times New Roman" w:hAnsiTheme="minorHAnsi" w:cstheme="minorHAnsi"/>
                <w:bCs/>
                <w:szCs w:val="20"/>
                <w:lang w:val="en" w:eastAsia="en-NZ"/>
              </w:rPr>
              <w:t>U</w:t>
            </w:r>
            <w:r w:rsidRPr="00CD4BA3">
              <w:rPr>
                <w:rFonts w:asciiTheme="minorHAnsi" w:eastAsia="Times New Roman" w:hAnsiTheme="minorHAnsi" w:cstheme="minorHAnsi"/>
                <w:bCs/>
                <w:szCs w:val="20"/>
                <w:lang w:val="en" w:eastAsia="en-NZ"/>
              </w:rPr>
              <w:t>ndertake substantial levels of afforestation </w:t>
            </w:r>
            <w:r w:rsidRPr="00CD4BA3">
              <w:rPr>
                <w:rFonts w:asciiTheme="minorHAnsi" w:eastAsia="Times New Roman" w:hAnsiTheme="minorHAnsi" w:cstheme="minorHAnsi"/>
                <w:szCs w:val="20"/>
                <w:lang w:val="en" w:eastAsia="en-NZ"/>
              </w:rPr>
              <w:t>to offset New Zealand’s remaining emissions. This will require sustained rates of planting over the next 30 years, potentially approaching the highest annual rate ever recorded in New Zealand</w:t>
            </w:r>
          </w:p>
          <w:p w14:paraId="4BC943E7" w14:textId="1242234C" w:rsidR="00CD4BA3" w:rsidRPr="00CD4BA3" w:rsidRDefault="00CD4BA3" w:rsidP="00CD4BA3">
            <w:pPr>
              <w:numPr>
                <w:ilvl w:val="0"/>
                <w:numId w:val="25"/>
              </w:numPr>
              <w:tabs>
                <w:tab w:val="clear" w:pos="720"/>
                <w:tab w:val="num" w:pos="489"/>
              </w:tabs>
              <w:spacing w:before="120" w:after="120" w:line="240" w:lineRule="auto"/>
              <w:ind w:left="489" w:right="135" w:hanging="284"/>
              <w:rPr>
                <w:rFonts w:asciiTheme="minorHAnsi" w:eastAsia="Times New Roman" w:hAnsiTheme="minorHAnsi" w:cstheme="minorHAnsi"/>
                <w:szCs w:val="20"/>
                <w:lang w:val="en" w:eastAsia="en-NZ"/>
              </w:rPr>
            </w:pPr>
            <w:r>
              <w:rPr>
                <w:rFonts w:asciiTheme="minorHAnsi" w:eastAsia="Times New Roman" w:hAnsiTheme="minorHAnsi" w:cstheme="minorHAnsi"/>
                <w:bCs/>
                <w:szCs w:val="20"/>
                <w:lang w:val="en" w:eastAsia="en-NZ"/>
              </w:rPr>
              <w:t>M</w:t>
            </w:r>
            <w:r w:rsidRPr="00CD4BA3">
              <w:rPr>
                <w:rFonts w:asciiTheme="minorHAnsi" w:eastAsia="Times New Roman" w:hAnsiTheme="minorHAnsi" w:cstheme="minorHAnsi"/>
                <w:bCs/>
                <w:szCs w:val="20"/>
                <w:lang w:val="en" w:eastAsia="en-NZ"/>
              </w:rPr>
              <w:t>ake changes to the structure and methods of agricultural production</w:t>
            </w:r>
            <w:r w:rsidRPr="00CD4BA3">
              <w:rPr>
                <w:rFonts w:asciiTheme="minorHAnsi" w:eastAsia="Times New Roman" w:hAnsiTheme="minorHAnsi" w:cstheme="minorHAnsi"/>
                <w:szCs w:val="20"/>
                <w:lang w:val="en" w:eastAsia="en-NZ"/>
              </w:rPr>
              <w:t>. This will include diversification of land use towards more horticulture and cropping, and greater adoption of low-emissions practices on farms.</w:t>
            </w:r>
          </w:p>
          <w:p w14:paraId="195E335F" w14:textId="1CC7EF36" w:rsidR="00CD4BA3" w:rsidRPr="00CD4BA3" w:rsidRDefault="00CD4BA3" w:rsidP="00CD4BA3">
            <w:pPr>
              <w:spacing w:before="120" w:after="120" w:line="240" w:lineRule="auto"/>
              <w:rPr>
                <w:rFonts w:asciiTheme="minorHAnsi" w:eastAsia="Times New Roman" w:hAnsiTheme="minorHAnsi" w:cstheme="minorHAnsi"/>
                <w:szCs w:val="20"/>
                <w:lang w:val="en" w:eastAsia="en-NZ"/>
              </w:rPr>
            </w:pPr>
            <w:r>
              <w:rPr>
                <w:rFonts w:asciiTheme="minorHAnsi" w:eastAsia="Times New Roman" w:hAnsiTheme="minorHAnsi" w:cstheme="minorHAnsi"/>
                <w:bCs/>
                <w:szCs w:val="20"/>
                <w:lang w:val="en" w:eastAsia="en-NZ"/>
              </w:rPr>
              <w:t xml:space="preserve">The inquiry further suggested that the </w:t>
            </w:r>
            <w:r w:rsidRPr="00CD4BA3">
              <w:rPr>
                <w:rFonts w:asciiTheme="minorHAnsi" w:eastAsia="Times New Roman" w:hAnsiTheme="minorHAnsi" w:cstheme="minorHAnsi"/>
                <w:szCs w:val="20"/>
                <w:lang w:val="en" w:eastAsia="en-NZ"/>
              </w:rPr>
              <w:t>Government prioritise the following actions to achieve the above shifts at the right scale and pace:</w:t>
            </w:r>
          </w:p>
          <w:p w14:paraId="4DE57484" w14:textId="035268CA" w:rsidR="00CD4BA3" w:rsidRPr="00CD4BA3" w:rsidRDefault="00CD4BA3" w:rsidP="00363C92">
            <w:pPr>
              <w:numPr>
                <w:ilvl w:val="0"/>
                <w:numId w:val="26"/>
              </w:numPr>
              <w:tabs>
                <w:tab w:val="clear" w:pos="720"/>
                <w:tab w:val="num" w:pos="489"/>
              </w:tabs>
              <w:spacing w:before="120" w:after="120" w:line="240" w:lineRule="auto"/>
              <w:ind w:left="489" w:right="135" w:hanging="284"/>
              <w:rPr>
                <w:rFonts w:asciiTheme="minorHAnsi" w:eastAsia="Times New Roman" w:hAnsiTheme="minorHAnsi" w:cstheme="minorHAnsi"/>
                <w:szCs w:val="20"/>
                <w:lang w:val="en" w:eastAsia="en-NZ"/>
              </w:rPr>
            </w:pPr>
            <w:r w:rsidRPr="00CD4BA3">
              <w:rPr>
                <w:rFonts w:asciiTheme="minorHAnsi" w:eastAsia="Times New Roman" w:hAnsiTheme="minorHAnsi" w:cstheme="minorHAnsi"/>
                <w:bCs/>
                <w:szCs w:val="20"/>
                <w:lang w:val="en" w:eastAsia="en-NZ"/>
              </w:rPr>
              <w:t>Establish a comprehensive and durable climate change policy framework</w:t>
            </w:r>
            <w:r w:rsidRPr="00CD4BA3">
              <w:rPr>
                <w:rFonts w:asciiTheme="minorHAnsi" w:eastAsia="Times New Roman" w:hAnsiTheme="minorHAnsi" w:cstheme="minorHAnsi"/>
                <w:szCs w:val="20"/>
                <w:lang w:val="en" w:eastAsia="en-NZ"/>
              </w:rPr>
              <w:t>, including separate legislated long-term targets for short- and long-lived gases; a series of successive emissions budgets; and an independent Climate Change Commission</w:t>
            </w:r>
          </w:p>
          <w:p w14:paraId="76B3D4DA" w14:textId="67433081" w:rsidR="00CD4BA3" w:rsidRPr="00CD4BA3" w:rsidRDefault="00CD4BA3" w:rsidP="00363C92">
            <w:pPr>
              <w:numPr>
                <w:ilvl w:val="0"/>
                <w:numId w:val="26"/>
              </w:numPr>
              <w:tabs>
                <w:tab w:val="clear" w:pos="720"/>
                <w:tab w:val="num" w:pos="489"/>
              </w:tabs>
              <w:spacing w:before="120" w:after="120" w:line="240" w:lineRule="auto"/>
              <w:ind w:left="489" w:right="135" w:hanging="284"/>
              <w:rPr>
                <w:rFonts w:asciiTheme="minorHAnsi" w:eastAsia="Times New Roman" w:hAnsiTheme="minorHAnsi" w:cstheme="minorHAnsi"/>
                <w:szCs w:val="20"/>
                <w:lang w:val="en" w:eastAsia="en-NZ"/>
              </w:rPr>
            </w:pPr>
            <w:r w:rsidRPr="00CD4BA3">
              <w:rPr>
                <w:rFonts w:asciiTheme="minorHAnsi" w:eastAsia="Times New Roman" w:hAnsiTheme="minorHAnsi" w:cstheme="minorHAnsi"/>
                <w:bCs/>
                <w:szCs w:val="20"/>
                <w:lang w:val="en" w:eastAsia="en-NZ"/>
              </w:rPr>
              <w:t>Reform the New Zealand Emissions Trading Scheme </w:t>
            </w:r>
            <w:r w:rsidRPr="00CD4BA3">
              <w:rPr>
                <w:rFonts w:asciiTheme="minorHAnsi" w:eastAsia="Times New Roman" w:hAnsiTheme="minorHAnsi" w:cstheme="minorHAnsi"/>
                <w:szCs w:val="20"/>
                <w:lang w:val="en" w:eastAsia="en-NZ"/>
              </w:rPr>
              <w:t>and apply some form of emissions pricing to methane from agriculture and waste</w:t>
            </w:r>
          </w:p>
          <w:p w14:paraId="6BF9946C" w14:textId="17A8BB65" w:rsidR="00CD4BA3" w:rsidRPr="00CD4BA3" w:rsidRDefault="00CD4BA3" w:rsidP="00363C92">
            <w:pPr>
              <w:numPr>
                <w:ilvl w:val="0"/>
                <w:numId w:val="26"/>
              </w:numPr>
              <w:tabs>
                <w:tab w:val="clear" w:pos="720"/>
                <w:tab w:val="num" w:pos="489"/>
              </w:tabs>
              <w:spacing w:before="120" w:after="120" w:line="240" w:lineRule="auto"/>
              <w:ind w:left="489" w:right="135" w:hanging="284"/>
              <w:rPr>
                <w:rFonts w:asciiTheme="minorHAnsi" w:eastAsia="Times New Roman" w:hAnsiTheme="minorHAnsi" w:cstheme="minorHAnsi"/>
                <w:szCs w:val="20"/>
                <w:lang w:val="en" w:eastAsia="en-NZ"/>
              </w:rPr>
            </w:pPr>
            <w:r w:rsidRPr="00CD4BA3">
              <w:rPr>
                <w:rFonts w:asciiTheme="minorHAnsi" w:eastAsia="Times New Roman" w:hAnsiTheme="minorHAnsi" w:cstheme="minorHAnsi"/>
                <w:bCs/>
                <w:szCs w:val="20"/>
                <w:lang w:val="en" w:eastAsia="en-NZ"/>
              </w:rPr>
              <w:lastRenderedPageBreak/>
              <w:t>Devote significantly more resources to low-emissions innovation and technology </w:t>
            </w:r>
            <w:r w:rsidRPr="00CD4BA3">
              <w:rPr>
                <w:rFonts w:asciiTheme="minorHAnsi" w:eastAsia="Times New Roman" w:hAnsiTheme="minorHAnsi" w:cstheme="minorHAnsi"/>
                <w:szCs w:val="20"/>
                <w:lang w:val="en" w:eastAsia="en-NZ"/>
              </w:rPr>
              <w:t>to account for the long timeframes involved in bringing innovative ideas to fruition</w:t>
            </w:r>
          </w:p>
          <w:p w14:paraId="4E9C6693" w14:textId="460DB885" w:rsidR="00CD4BA3" w:rsidRPr="00CD4BA3" w:rsidRDefault="00CD4BA3" w:rsidP="00CD4BA3">
            <w:pPr>
              <w:spacing w:before="120" w:after="120" w:line="240" w:lineRule="auto"/>
              <w:rPr>
                <w:rFonts w:asciiTheme="minorHAnsi" w:eastAsia="Times New Roman" w:hAnsiTheme="minorHAnsi" w:cstheme="minorHAnsi"/>
                <w:szCs w:val="20"/>
                <w:lang w:val="en" w:eastAsia="en-NZ"/>
              </w:rPr>
            </w:pPr>
            <w:r w:rsidRPr="00CD4BA3">
              <w:rPr>
                <w:rFonts w:asciiTheme="minorHAnsi" w:eastAsia="Times New Roman" w:hAnsiTheme="minorHAnsi" w:cstheme="minorHAnsi"/>
                <w:szCs w:val="20"/>
                <w:lang w:val="en" w:eastAsia="en-NZ"/>
              </w:rPr>
              <w:t xml:space="preserve">The </w:t>
            </w:r>
            <w:r w:rsidR="00363C92">
              <w:rPr>
                <w:rFonts w:asciiTheme="minorHAnsi" w:eastAsia="Times New Roman" w:hAnsiTheme="minorHAnsi" w:cstheme="minorHAnsi"/>
                <w:szCs w:val="20"/>
                <w:lang w:val="en" w:eastAsia="en-NZ"/>
              </w:rPr>
              <w:t xml:space="preserve">inquiry </w:t>
            </w:r>
            <w:r w:rsidRPr="00CD4BA3">
              <w:rPr>
                <w:rFonts w:asciiTheme="minorHAnsi" w:eastAsia="Times New Roman" w:hAnsiTheme="minorHAnsi" w:cstheme="minorHAnsi"/>
                <w:szCs w:val="20"/>
                <w:lang w:val="en" w:eastAsia="en-NZ"/>
              </w:rPr>
              <w:t>also recommend</w:t>
            </w:r>
            <w:r w:rsidR="00363C92">
              <w:rPr>
                <w:rFonts w:asciiTheme="minorHAnsi" w:eastAsia="Times New Roman" w:hAnsiTheme="minorHAnsi" w:cstheme="minorHAnsi"/>
                <w:szCs w:val="20"/>
                <w:lang w:val="en" w:eastAsia="en-NZ"/>
              </w:rPr>
              <w:t>ed</w:t>
            </w:r>
            <w:r w:rsidRPr="00CD4BA3">
              <w:rPr>
                <w:rFonts w:asciiTheme="minorHAnsi" w:eastAsia="Times New Roman" w:hAnsiTheme="minorHAnsi" w:cstheme="minorHAnsi"/>
                <w:szCs w:val="20"/>
                <w:lang w:val="en" w:eastAsia="en-NZ"/>
              </w:rPr>
              <w:t xml:space="preserve"> a suite of other policy reforms to help drive the transition. These include </w:t>
            </w:r>
            <w:r w:rsidRPr="00CD4BA3">
              <w:rPr>
                <w:rFonts w:asciiTheme="minorHAnsi" w:eastAsia="Times New Roman" w:hAnsiTheme="minorHAnsi" w:cstheme="minorHAnsi"/>
                <w:bCs/>
                <w:szCs w:val="20"/>
                <w:lang w:val="en" w:eastAsia="en-NZ"/>
              </w:rPr>
              <w:t>introducing emissions standards for newly registered vehicles, a feebate scheme to accelerate the uptake of EVs, and mandatory climate-related financial disclosures.</w:t>
            </w:r>
          </w:p>
        </w:tc>
      </w:tr>
      <w:tr w:rsidR="00497B95" w:rsidRPr="006E4906" w14:paraId="3B3698A6" w14:textId="77777777" w:rsidTr="003625E6">
        <w:trPr>
          <w:trHeight w:val="1124"/>
        </w:trPr>
        <w:tc>
          <w:tcPr>
            <w:tcW w:w="549" w:type="dxa"/>
            <w:tcBorders>
              <w:top w:val="nil"/>
              <w:left w:val="single" w:sz="4" w:space="0" w:color="auto"/>
              <w:bottom w:val="single" w:sz="4" w:space="0" w:color="auto"/>
              <w:right w:val="single" w:sz="4" w:space="0" w:color="auto"/>
            </w:tcBorders>
            <w:shd w:val="clear" w:color="auto" w:fill="auto"/>
            <w:hideMark/>
          </w:tcPr>
          <w:p w14:paraId="3B9B3251" w14:textId="00E032D1" w:rsidR="00497B95" w:rsidRPr="0022022E" w:rsidRDefault="00D872B4"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115</w:t>
            </w:r>
          </w:p>
        </w:tc>
        <w:tc>
          <w:tcPr>
            <w:tcW w:w="5859" w:type="dxa"/>
            <w:tcBorders>
              <w:top w:val="nil"/>
              <w:left w:val="nil"/>
              <w:bottom w:val="single" w:sz="4" w:space="0" w:color="auto"/>
              <w:right w:val="single" w:sz="4" w:space="0" w:color="auto"/>
            </w:tcBorders>
            <w:shd w:val="clear" w:color="auto" w:fill="auto"/>
            <w:hideMark/>
          </w:tcPr>
          <w:p w14:paraId="4BE62A7C" w14:textId="56A242D8" w:rsidR="00497B95" w:rsidRPr="0022022E" w:rsidRDefault="001B647A" w:rsidP="0022022E">
            <w:pPr>
              <w:widowControl w:val="0"/>
              <w:tabs>
                <w:tab w:val="left" w:pos="364"/>
              </w:tabs>
              <w:autoSpaceDE w:val="0"/>
              <w:autoSpaceDN w:val="0"/>
              <w:spacing w:before="120" w:after="120" w:line="240" w:lineRule="auto"/>
              <w:ind w:right="328"/>
              <w:rPr>
                <w:rFonts w:asciiTheme="minorHAnsi" w:hAnsiTheme="minorHAnsi" w:cstheme="minorHAnsi"/>
                <w:szCs w:val="20"/>
              </w:rPr>
            </w:pPr>
            <w:r>
              <w:rPr>
                <w:rFonts w:asciiTheme="minorHAnsi" w:hAnsiTheme="minorHAnsi" w:cstheme="minorHAnsi"/>
                <w:szCs w:val="20"/>
              </w:rPr>
              <w:t>How does the Commission assess the “slow burn” effect of its recommendation</w:t>
            </w:r>
            <w:r w:rsidR="00E060DF">
              <w:rPr>
                <w:rFonts w:asciiTheme="minorHAnsi" w:hAnsiTheme="minorHAnsi" w:cstheme="minorHAnsi"/>
                <w:szCs w:val="20"/>
              </w:rPr>
              <w:t>s</w:t>
            </w:r>
            <w:r>
              <w:rPr>
                <w:rFonts w:asciiTheme="minorHAnsi" w:hAnsiTheme="minorHAnsi" w:cstheme="minorHAnsi"/>
                <w:szCs w:val="20"/>
              </w:rPr>
              <w:t>, even when its recommendation have not been accepted by Government</w:t>
            </w:r>
            <w:r w:rsidR="0022022E" w:rsidRPr="0022022E">
              <w:rPr>
                <w:rFonts w:asciiTheme="minorHAnsi" w:hAnsiTheme="minorHAnsi" w:cstheme="minorHAnsi"/>
                <w:szCs w:val="20"/>
              </w:rPr>
              <w:t>?</w:t>
            </w:r>
          </w:p>
        </w:tc>
        <w:tc>
          <w:tcPr>
            <w:tcW w:w="7650" w:type="dxa"/>
            <w:tcBorders>
              <w:top w:val="nil"/>
              <w:left w:val="nil"/>
              <w:bottom w:val="single" w:sz="4" w:space="0" w:color="auto"/>
              <w:right w:val="single" w:sz="4" w:space="0" w:color="auto"/>
            </w:tcBorders>
            <w:shd w:val="clear" w:color="auto" w:fill="auto"/>
            <w:noWrap/>
          </w:tcPr>
          <w:p w14:paraId="4D4F928F" w14:textId="5AD9C9F0" w:rsidR="00784F12" w:rsidRPr="00784F12" w:rsidRDefault="00784F12" w:rsidP="00784F12">
            <w:pPr>
              <w:pStyle w:val="Default"/>
              <w:spacing w:before="120" w:after="120"/>
              <w:rPr>
                <w:sz w:val="20"/>
                <w:szCs w:val="20"/>
              </w:rPr>
            </w:pPr>
            <w:r w:rsidRPr="00784F12">
              <w:rPr>
                <w:sz w:val="20"/>
                <w:szCs w:val="20"/>
              </w:rPr>
              <w:t>The Commission is an independent research and advisory body and as such does not run or implement any policies or programmes. The Government is under no obligation to implement Commission recommendations or to respond to our reports. In this regard we are highly reliant on the power and communication of our ideas and analysis to influence and shape policy. This influence may be direct and immediate (e.g. through the acceptance and adoption or our recommendations) or it may occur over longer periods after academic, community and public consideration of our work.</w:t>
            </w:r>
          </w:p>
          <w:p w14:paraId="57F8C7D0" w14:textId="725D4A03" w:rsidR="00497B95" w:rsidRPr="00784F12" w:rsidRDefault="00784F12" w:rsidP="00784F12">
            <w:pPr>
              <w:pStyle w:val="Default"/>
              <w:spacing w:before="120" w:after="120"/>
              <w:rPr>
                <w:sz w:val="20"/>
                <w:szCs w:val="20"/>
              </w:rPr>
            </w:pPr>
            <w:r w:rsidRPr="00784F12">
              <w:rPr>
                <w:sz w:val="20"/>
                <w:szCs w:val="20"/>
              </w:rPr>
              <w:t>While the number of recommendations agreed and implemented is one measure of impact, influence may be also be seen in more subtle ways. Our reports often ‘seed’ ideas, analytical techniques or debate. We are aware of, without being able to specifically measure, the extent of such influence and the extended time lag between our work in some fields and the emergence or enactment of policy ideas that can be sourced in an inquiry report of years earlier.</w:t>
            </w:r>
          </w:p>
        </w:tc>
      </w:tr>
      <w:tr w:rsidR="00497B95" w:rsidRPr="000C21B7" w14:paraId="73C361D1" w14:textId="77777777" w:rsidTr="003625E6">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88AE628" w14:textId="22E1BB55" w:rsidR="00497B95" w:rsidRPr="0022022E" w:rsidRDefault="00D872B4"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116</w:t>
            </w:r>
          </w:p>
        </w:tc>
        <w:tc>
          <w:tcPr>
            <w:tcW w:w="5859" w:type="dxa"/>
            <w:tcBorders>
              <w:top w:val="single" w:sz="4" w:space="0" w:color="auto"/>
              <w:left w:val="nil"/>
              <w:bottom w:val="single" w:sz="4" w:space="0" w:color="auto"/>
              <w:right w:val="single" w:sz="4" w:space="0" w:color="auto"/>
            </w:tcBorders>
            <w:shd w:val="clear" w:color="auto" w:fill="auto"/>
            <w:hideMark/>
          </w:tcPr>
          <w:p w14:paraId="43AC5BCE" w14:textId="42F0B5BE" w:rsidR="000C21B7" w:rsidRPr="0022022E" w:rsidRDefault="001B647A" w:rsidP="005541C0">
            <w:pPr>
              <w:widowControl w:val="0"/>
              <w:tabs>
                <w:tab w:val="left" w:pos="368"/>
              </w:tabs>
              <w:autoSpaceDE w:val="0"/>
              <w:autoSpaceDN w:val="0"/>
              <w:spacing w:before="120" w:after="120" w:line="240" w:lineRule="auto"/>
              <w:ind w:right="945"/>
              <w:rPr>
                <w:rFonts w:asciiTheme="minorHAnsi" w:hAnsiTheme="minorHAnsi" w:cstheme="minorHAnsi"/>
                <w:szCs w:val="20"/>
              </w:rPr>
            </w:pPr>
            <w:r>
              <w:rPr>
                <w:rFonts w:asciiTheme="minorHAnsi" w:hAnsiTheme="minorHAnsi" w:cstheme="minorHAnsi"/>
                <w:szCs w:val="20"/>
              </w:rPr>
              <w:t>What has the Commission done to encourage public engagement in its work, and how does the Commission assess media and social media’s role in enhancing input to, and update of, its work</w:t>
            </w:r>
            <w:r w:rsidR="005541C0">
              <w:rPr>
                <w:rFonts w:asciiTheme="minorHAnsi" w:hAnsiTheme="minorHAnsi" w:cstheme="minorHAnsi"/>
                <w:szCs w:val="20"/>
              </w:rPr>
              <w:t>.</w:t>
            </w:r>
          </w:p>
        </w:tc>
        <w:tc>
          <w:tcPr>
            <w:tcW w:w="7650" w:type="dxa"/>
            <w:tcBorders>
              <w:top w:val="single" w:sz="4" w:space="0" w:color="auto"/>
              <w:left w:val="nil"/>
              <w:bottom w:val="single" w:sz="4" w:space="0" w:color="auto"/>
              <w:right w:val="single" w:sz="4" w:space="0" w:color="auto"/>
            </w:tcBorders>
            <w:shd w:val="clear" w:color="auto" w:fill="auto"/>
            <w:noWrap/>
          </w:tcPr>
          <w:p w14:paraId="71F83176" w14:textId="77777777" w:rsidR="00E67769" w:rsidRPr="00E67769" w:rsidRDefault="00E67769" w:rsidP="00485C13">
            <w:pPr>
              <w:spacing w:before="120" w:after="120" w:line="240" w:lineRule="auto"/>
              <w:rPr>
                <w:rFonts w:asciiTheme="minorHAnsi" w:hAnsiTheme="minorHAnsi"/>
                <w:lang w:val="en-US"/>
              </w:rPr>
            </w:pPr>
            <w:r w:rsidRPr="00E67769">
              <w:rPr>
                <w:rFonts w:asciiTheme="minorHAnsi" w:hAnsiTheme="minorHAnsi"/>
                <w:lang w:val="en-US"/>
              </w:rPr>
              <w:t xml:space="preserve">Public engagement is central to the Commission’s impact and influence. We are committed to using new and innovative communications to engage effectively with our audiences and we continuously learn from communications and engagement feedback from our evaluation processes. </w:t>
            </w:r>
          </w:p>
          <w:p w14:paraId="4601C0EA" w14:textId="77777777" w:rsidR="00E67769" w:rsidRPr="00E67769" w:rsidRDefault="00E67769" w:rsidP="00485C13">
            <w:pPr>
              <w:spacing w:before="120" w:after="120" w:line="240" w:lineRule="auto"/>
              <w:rPr>
                <w:rFonts w:asciiTheme="minorHAnsi" w:hAnsiTheme="minorHAnsi"/>
              </w:rPr>
            </w:pPr>
            <w:r w:rsidRPr="00E67769">
              <w:rPr>
                <w:rFonts w:asciiTheme="minorHAnsi" w:hAnsiTheme="minorHAnsi"/>
              </w:rPr>
              <w:t xml:space="preserve">We actively encourage, and call for, public opinion and comment on our inquiries. This is facilitated through questions asked in our </w:t>
            </w:r>
            <w:r w:rsidRPr="00E67769">
              <w:rPr>
                <w:rFonts w:asciiTheme="minorHAnsi" w:hAnsiTheme="minorHAnsi"/>
                <w:i/>
                <w:iCs/>
              </w:rPr>
              <w:t>Issues papers</w:t>
            </w:r>
            <w:r w:rsidRPr="00E67769">
              <w:rPr>
                <w:rFonts w:asciiTheme="minorHAnsi" w:hAnsiTheme="minorHAnsi"/>
              </w:rPr>
              <w:t xml:space="preserve">, with invitations to engage sent via email to our stakeholder database (3,500+ individuals), identified interested parties, and promoted via our website, social media and speaking programme. Media releases and opinion pieces by the Commission further encourage public engagement and comment. </w:t>
            </w:r>
          </w:p>
          <w:p w14:paraId="17EA559B" w14:textId="77777777" w:rsidR="00E67769" w:rsidRPr="00E67769" w:rsidRDefault="00E67769" w:rsidP="00485C13">
            <w:pPr>
              <w:spacing w:before="120" w:after="120" w:line="240" w:lineRule="auto"/>
              <w:rPr>
                <w:rFonts w:asciiTheme="minorHAnsi" w:hAnsiTheme="minorHAnsi"/>
                <w:lang w:val="en-US"/>
              </w:rPr>
            </w:pPr>
            <w:r w:rsidRPr="00E67769">
              <w:rPr>
                <w:rFonts w:asciiTheme="minorHAnsi" w:hAnsiTheme="minorHAnsi"/>
                <w:lang w:val="en-US"/>
              </w:rPr>
              <w:t xml:space="preserve">For our new inquiry into </w:t>
            </w:r>
            <w:r w:rsidRPr="00E67769">
              <w:rPr>
                <w:rFonts w:asciiTheme="minorHAnsi" w:hAnsiTheme="minorHAnsi"/>
                <w:i/>
                <w:iCs/>
                <w:lang w:val="en-US"/>
              </w:rPr>
              <w:t>Technology, disruption and the future of work,</w:t>
            </w:r>
            <w:r w:rsidRPr="00E67769">
              <w:rPr>
                <w:rFonts w:asciiTheme="minorHAnsi" w:hAnsiTheme="minorHAnsi"/>
                <w:lang w:val="en-US"/>
              </w:rPr>
              <w:t xml:space="preserve"> an </w:t>
            </w:r>
            <w:hyperlink r:id="rId17" w:history="1">
              <w:r w:rsidRPr="00E67769">
                <w:rPr>
                  <w:rStyle w:val="Hyperlink"/>
                  <w:rFonts w:asciiTheme="minorHAnsi" w:hAnsiTheme="minorHAnsi"/>
                  <w:lang w:val="en-US"/>
                </w:rPr>
                <w:t>opinion piece</w:t>
              </w:r>
            </w:hyperlink>
            <w:r w:rsidRPr="00E67769">
              <w:rPr>
                <w:rFonts w:asciiTheme="minorHAnsi" w:hAnsiTheme="minorHAnsi"/>
                <w:lang w:val="en-US"/>
              </w:rPr>
              <w:t xml:space="preserve"> by Commission authors was published on interest.co.nz and a </w:t>
            </w:r>
            <w:hyperlink r:id="rId18" w:history="1">
              <w:r w:rsidRPr="00E67769">
                <w:rPr>
                  <w:rStyle w:val="Hyperlink"/>
                  <w:rFonts w:asciiTheme="minorHAnsi" w:hAnsiTheme="minorHAnsi"/>
                  <w:lang w:val="en-US"/>
                </w:rPr>
                <w:t>3-minute video</w:t>
              </w:r>
            </w:hyperlink>
            <w:r w:rsidRPr="00E67769">
              <w:rPr>
                <w:rFonts w:asciiTheme="minorHAnsi" w:hAnsiTheme="minorHAnsi"/>
                <w:lang w:val="en-US"/>
              </w:rPr>
              <w:t xml:space="preserve"> helped inform and engage the public in the inquiry. The opinion piece generated 12 online comments soon after it was published and within a week the video had 445 views. We will compare </w:t>
            </w:r>
            <w:r w:rsidRPr="00E67769">
              <w:rPr>
                <w:rFonts w:asciiTheme="minorHAnsi" w:hAnsiTheme="minorHAnsi"/>
                <w:lang w:val="en-US"/>
              </w:rPr>
              <w:lastRenderedPageBreak/>
              <w:t xml:space="preserve">this with other communications to understand if the communications produced the right impact and reached the right audience. </w:t>
            </w:r>
          </w:p>
          <w:p w14:paraId="000C9C38" w14:textId="77777777" w:rsidR="00E67769" w:rsidRPr="00E67769" w:rsidRDefault="00E67769" w:rsidP="00485C13">
            <w:pPr>
              <w:spacing w:before="120" w:after="120" w:line="240" w:lineRule="auto"/>
              <w:rPr>
                <w:rFonts w:asciiTheme="minorHAnsi" w:hAnsiTheme="minorHAnsi"/>
                <w:lang w:val="en-US"/>
              </w:rPr>
            </w:pPr>
            <w:r w:rsidRPr="00E67769">
              <w:rPr>
                <w:rFonts w:asciiTheme="minorHAnsi" w:hAnsiTheme="minorHAnsi"/>
                <w:lang w:val="en-US"/>
              </w:rPr>
              <w:t xml:space="preserve">Our website is a key communications tool and in the last year we started a project to improve the navigation and accessibility of the site. As an example, improvements to the website will include moving away from our current pdf-heavy report approach to online report content to improve readability and searchability. On our website, we highlight the importance of public engagement and that we are keen to involve everyone in our work. We clearly outline how to make a submission, contact us or subscribe to updates. </w:t>
            </w:r>
          </w:p>
          <w:p w14:paraId="51F8ADF3" w14:textId="77777777" w:rsidR="00E67769" w:rsidRPr="00E67769" w:rsidRDefault="00E67769" w:rsidP="00485C13">
            <w:pPr>
              <w:spacing w:before="120" w:after="120" w:line="240" w:lineRule="auto"/>
              <w:rPr>
                <w:rFonts w:asciiTheme="minorHAnsi" w:hAnsiTheme="minorHAnsi"/>
                <w:lang w:val="en-US"/>
              </w:rPr>
            </w:pPr>
            <w:r w:rsidRPr="00E67769">
              <w:rPr>
                <w:rFonts w:asciiTheme="minorHAnsi" w:hAnsiTheme="minorHAnsi"/>
                <w:lang w:val="en-US"/>
              </w:rPr>
              <w:t>Our work generates significant public interest and we receive many invitations to speak at events about productivity, our research outputs and inquiries. The topics for our inquiries are diverse and this gives us an important platform to engage with new audiences and new media channels.</w:t>
            </w:r>
          </w:p>
          <w:p w14:paraId="7A0D7C3A" w14:textId="285F6C31" w:rsidR="005541C0" w:rsidRPr="00E67769" w:rsidRDefault="00E67769" w:rsidP="00485C13">
            <w:pPr>
              <w:spacing w:before="120" w:after="120" w:line="240" w:lineRule="auto"/>
              <w:rPr>
                <w:rFonts w:asciiTheme="minorHAnsi" w:hAnsiTheme="minorHAnsi"/>
                <w:lang w:val="en-US"/>
              </w:rPr>
            </w:pPr>
            <w:r w:rsidRPr="00E67769">
              <w:rPr>
                <w:rFonts w:asciiTheme="minorHAnsi" w:hAnsiTheme="minorHAnsi"/>
                <w:lang w:val="en-US"/>
              </w:rPr>
              <w:t>Media and social media continue to be important channels to connect with our audiences. Twitter is a popular social platform and we have 2,240 followers. We monitor our analytics to review our performance and learn how to improve future communications, for example, regularly checking impressions, engagements and top and low-performing posts. We use a media monitoring provider to understand our impact, where we’re creating the most and least value to be able to better use media for our work.</w:t>
            </w:r>
          </w:p>
        </w:tc>
      </w:tr>
      <w:tr w:rsidR="000C21B7" w:rsidRPr="001350F5" w14:paraId="1012B14F" w14:textId="77777777" w:rsidTr="00053B1B">
        <w:trPr>
          <w:trHeight w:val="392"/>
        </w:trPr>
        <w:tc>
          <w:tcPr>
            <w:tcW w:w="14058" w:type="dxa"/>
            <w:gridSpan w:val="3"/>
            <w:tcBorders>
              <w:top w:val="single" w:sz="4" w:space="0" w:color="auto"/>
            </w:tcBorders>
            <w:shd w:val="clear" w:color="auto" w:fill="auto"/>
            <w:vAlign w:val="center"/>
          </w:tcPr>
          <w:p w14:paraId="7722E0B0" w14:textId="359F5DBF" w:rsidR="000C21B7" w:rsidRPr="00C42A94" w:rsidRDefault="00D872B4" w:rsidP="00C42A94">
            <w:pPr>
              <w:pStyle w:val="Heading1"/>
              <w:spacing w:before="360" w:after="120"/>
              <w:rPr>
                <w:rFonts w:asciiTheme="minorHAnsi" w:eastAsia="Times New Roman" w:hAnsiTheme="minorHAnsi" w:cs="Calibri"/>
                <w:b/>
                <w:caps/>
                <w:color w:val="000000"/>
                <w:sz w:val="24"/>
                <w:szCs w:val="24"/>
                <w:lang w:eastAsia="en-NZ"/>
              </w:rPr>
            </w:pPr>
            <w:bookmarkStart w:id="1" w:name="_Toc2151765"/>
            <w:r>
              <w:rPr>
                <w:rFonts w:asciiTheme="minorHAnsi" w:eastAsia="Times New Roman" w:hAnsiTheme="minorHAnsi" w:cs="Calibri"/>
                <w:b/>
                <w:caps/>
                <w:color w:val="000000"/>
                <w:sz w:val="24"/>
                <w:szCs w:val="24"/>
                <w:lang w:eastAsia="en-NZ"/>
              </w:rPr>
              <w:lastRenderedPageBreak/>
              <w:t>RESEARCH WORK: SELF-REFERRED AND WITH PRODUCTIVITY HUB PARTNERS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w:t>
            </w:r>
            <w:r>
              <w:rPr>
                <w:rFonts w:asciiTheme="minorHAnsi" w:eastAsia="Times New Roman" w:hAnsiTheme="minorHAnsi" w:cs="Calibri"/>
                <w:b/>
                <w:color w:val="000000"/>
                <w:sz w:val="24"/>
                <w:szCs w:val="24"/>
                <w:lang w:eastAsia="en-NZ"/>
              </w:rPr>
              <w:t>s 117-121</w:t>
            </w:r>
            <w:r w:rsidR="00C42A94">
              <w:rPr>
                <w:rFonts w:asciiTheme="minorHAnsi" w:eastAsia="Times New Roman" w:hAnsiTheme="minorHAnsi" w:cs="Calibri"/>
                <w:b/>
                <w:caps/>
                <w:color w:val="000000"/>
                <w:sz w:val="24"/>
                <w:szCs w:val="24"/>
                <w:lang w:eastAsia="en-NZ"/>
              </w:rPr>
              <w:t>)</w:t>
            </w:r>
            <w:bookmarkEnd w:id="1"/>
          </w:p>
        </w:tc>
      </w:tr>
      <w:tr w:rsidR="00053B1B" w:rsidRPr="00053B1B" w14:paraId="3A90AB99" w14:textId="77777777" w:rsidTr="00053B1B">
        <w:trPr>
          <w:trHeight w:val="392"/>
        </w:trPr>
        <w:tc>
          <w:tcPr>
            <w:tcW w:w="14058" w:type="dxa"/>
            <w:gridSpan w:val="3"/>
            <w:tcBorders>
              <w:bottom w:val="single" w:sz="4" w:space="0" w:color="auto"/>
            </w:tcBorders>
            <w:shd w:val="clear" w:color="auto" w:fill="auto"/>
            <w:vAlign w:val="center"/>
          </w:tcPr>
          <w:p w14:paraId="2B42BE70" w14:textId="40C55C4A" w:rsidR="00053B1B" w:rsidRPr="00053B1B" w:rsidRDefault="00053B1B" w:rsidP="00053B1B">
            <w:pPr>
              <w:pStyle w:val="Heading1"/>
              <w:spacing w:before="120" w:after="120"/>
              <w:rPr>
                <w:rFonts w:asciiTheme="minorHAnsi" w:eastAsia="Times New Roman" w:hAnsiTheme="minorHAnsi" w:cs="Calibri"/>
                <w:color w:val="000000"/>
                <w:sz w:val="20"/>
                <w:szCs w:val="20"/>
                <w:lang w:eastAsia="en-NZ"/>
              </w:rPr>
            </w:pPr>
            <w:r w:rsidRPr="00053B1B">
              <w:rPr>
                <w:rFonts w:asciiTheme="minorHAnsi" w:eastAsia="Times New Roman" w:hAnsiTheme="minorHAnsi" w:cs="Calibri"/>
                <w:color w:val="000000"/>
                <w:sz w:val="20"/>
                <w:szCs w:val="20"/>
                <w:lang w:eastAsia="en-NZ"/>
              </w:rPr>
              <w:t>The Committee notes the research work that the Commission undertakes itself and with its partners in the productivity hub.</w:t>
            </w:r>
          </w:p>
        </w:tc>
      </w:tr>
      <w:tr w:rsidR="00497B95" w:rsidRPr="000C21B7" w14:paraId="00F11CD4"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8C85FD" w14:textId="0A3AB23A" w:rsidR="00497B95" w:rsidRPr="001350F5" w:rsidRDefault="0022022E" w:rsidP="00B60A9E">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w:t>
            </w:r>
            <w:r w:rsidR="00D872B4">
              <w:rPr>
                <w:rFonts w:asciiTheme="minorHAnsi" w:eastAsia="Times New Roman" w:hAnsiTheme="minorHAnsi" w:cstheme="minorHAnsi"/>
                <w:color w:val="000000"/>
                <w:szCs w:val="20"/>
                <w:lang w:eastAsia="en-NZ"/>
              </w:rPr>
              <w:t>17</w:t>
            </w:r>
          </w:p>
        </w:tc>
        <w:tc>
          <w:tcPr>
            <w:tcW w:w="5859" w:type="dxa"/>
            <w:tcBorders>
              <w:top w:val="single" w:sz="4" w:space="0" w:color="auto"/>
              <w:left w:val="nil"/>
              <w:bottom w:val="single" w:sz="4" w:space="0" w:color="auto"/>
              <w:right w:val="single" w:sz="4" w:space="0" w:color="auto"/>
            </w:tcBorders>
            <w:shd w:val="clear" w:color="auto" w:fill="auto"/>
            <w:hideMark/>
          </w:tcPr>
          <w:p w14:paraId="0EFD0684" w14:textId="6FC163C1" w:rsidR="00497B95" w:rsidRPr="001350F5" w:rsidRDefault="00726078" w:rsidP="00B60A9E">
            <w:pPr>
              <w:spacing w:before="120" w:after="120" w:line="240" w:lineRule="auto"/>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What amount of the Commission’s work is in research, compared to inquiries, how does the Commission assess the impact of its research work, and what are the Commission’s priorities for its research work in 2018/19 and out years?</w:t>
            </w:r>
          </w:p>
        </w:tc>
        <w:tc>
          <w:tcPr>
            <w:tcW w:w="7650" w:type="dxa"/>
            <w:tcBorders>
              <w:top w:val="single" w:sz="4" w:space="0" w:color="auto"/>
              <w:left w:val="nil"/>
              <w:bottom w:val="single" w:sz="4" w:space="0" w:color="auto"/>
              <w:right w:val="single" w:sz="4" w:space="0" w:color="auto"/>
            </w:tcBorders>
            <w:shd w:val="clear" w:color="auto" w:fill="auto"/>
            <w:noWrap/>
            <w:hideMark/>
          </w:tcPr>
          <w:p w14:paraId="3E2899A5" w14:textId="77777777" w:rsidR="00194789" w:rsidRPr="00194789" w:rsidRDefault="00194789" w:rsidP="00194789">
            <w:pPr>
              <w:spacing w:before="120" w:after="120" w:line="240" w:lineRule="auto"/>
              <w:rPr>
                <w:rFonts w:asciiTheme="minorHAnsi" w:hAnsiTheme="minorHAnsi" w:cstheme="minorHAnsi"/>
              </w:rPr>
            </w:pPr>
            <w:r w:rsidRPr="00194789">
              <w:rPr>
                <w:rFonts w:asciiTheme="minorHAnsi" w:hAnsiTheme="minorHAnsi" w:cstheme="minorHAnsi"/>
              </w:rPr>
              <w:t>Since establishment the self-directed programme of productivity research has accounted for about 10-15% of the Commission’s budget.</w:t>
            </w:r>
          </w:p>
          <w:p w14:paraId="369B154D" w14:textId="77777777" w:rsidR="00194789" w:rsidRPr="00194789" w:rsidRDefault="00194789" w:rsidP="00194789">
            <w:pPr>
              <w:spacing w:before="120" w:after="120" w:line="240" w:lineRule="auto"/>
              <w:rPr>
                <w:rFonts w:asciiTheme="minorHAnsi" w:hAnsiTheme="minorHAnsi" w:cstheme="minorHAnsi"/>
              </w:rPr>
            </w:pPr>
            <w:r w:rsidRPr="00194789">
              <w:rPr>
                <w:rFonts w:asciiTheme="minorHAnsi" w:hAnsiTheme="minorHAnsi" w:cstheme="minorHAnsi"/>
              </w:rPr>
              <w:t xml:space="preserve">Independent expert evaluations of the Commission’s economics and research function are undertaken regularly. Reviews have been undertaken in 2014, 2015, 2016 and 2018. </w:t>
            </w:r>
          </w:p>
          <w:p w14:paraId="768CF3F3" w14:textId="3358B5A4" w:rsidR="00194789" w:rsidRPr="00194789" w:rsidRDefault="00194789" w:rsidP="00194789">
            <w:pPr>
              <w:spacing w:before="120" w:after="120" w:line="240" w:lineRule="auto"/>
              <w:rPr>
                <w:rFonts w:asciiTheme="minorHAnsi" w:hAnsiTheme="minorHAnsi" w:cstheme="minorHAnsi"/>
              </w:rPr>
            </w:pPr>
            <w:r w:rsidRPr="00194789">
              <w:rPr>
                <w:rFonts w:asciiTheme="minorHAnsi" w:hAnsiTheme="minorHAnsi" w:cstheme="minorHAnsi"/>
              </w:rPr>
              <w:t>The Commission’s research priorities are currently being refreshed but themes are likely to include:</w:t>
            </w:r>
          </w:p>
          <w:p w14:paraId="1877AE56" w14:textId="77777777" w:rsidR="00194789" w:rsidRPr="00194789" w:rsidRDefault="00194789" w:rsidP="00194789">
            <w:pPr>
              <w:pStyle w:val="ListParagraph"/>
              <w:numPr>
                <w:ilvl w:val="0"/>
                <w:numId w:val="19"/>
              </w:numPr>
              <w:spacing w:before="120" w:after="120" w:line="240" w:lineRule="auto"/>
              <w:contextualSpacing w:val="0"/>
              <w:rPr>
                <w:rFonts w:asciiTheme="minorHAnsi" w:hAnsiTheme="minorHAnsi" w:cstheme="minorHAnsi"/>
              </w:rPr>
            </w:pPr>
            <w:r w:rsidRPr="00194789">
              <w:rPr>
                <w:rFonts w:asciiTheme="minorHAnsi" w:hAnsiTheme="minorHAnsi" w:cstheme="minorHAnsi"/>
              </w:rPr>
              <w:t>telling New Zealand’s productivity story;</w:t>
            </w:r>
          </w:p>
          <w:p w14:paraId="4267D2DD" w14:textId="77777777" w:rsidR="00194789" w:rsidRPr="00194789" w:rsidRDefault="00194789" w:rsidP="00194789">
            <w:pPr>
              <w:pStyle w:val="ListParagraph"/>
              <w:numPr>
                <w:ilvl w:val="0"/>
                <w:numId w:val="19"/>
              </w:numPr>
              <w:spacing w:before="120" w:after="120" w:line="240" w:lineRule="auto"/>
              <w:contextualSpacing w:val="0"/>
              <w:rPr>
                <w:rFonts w:asciiTheme="minorHAnsi" w:hAnsiTheme="minorHAnsi" w:cstheme="minorHAnsi"/>
              </w:rPr>
            </w:pPr>
            <w:r w:rsidRPr="00194789">
              <w:rPr>
                <w:rFonts w:asciiTheme="minorHAnsi" w:hAnsiTheme="minorHAnsi" w:cstheme="minorHAnsi"/>
              </w:rPr>
              <w:t>efficiency of resource allocation;</w:t>
            </w:r>
          </w:p>
          <w:p w14:paraId="241135EA" w14:textId="77777777" w:rsidR="00194789" w:rsidRPr="00194789" w:rsidRDefault="00194789" w:rsidP="00194789">
            <w:pPr>
              <w:pStyle w:val="ListParagraph"/>
              <w:numPr>
                <w:ilvl w:val="0"/>
                <w:numId w:val="19"/>
              </w:numPr>
              <w:spacing w:before="120" w:after="120" w:line="240" w:lineRule="auto"/>
              <w:contextualSpacing w:val="0"/>
              <w:rPr>
                <w:rFonts w:asciiTheme="minorHAnsi" w:hAnsiTheme="minorHAnsi" w:cstheme="minorHAnsi"/>
              </w:rPr>
            </w:pPr>
            <w:r w:rsidRPr="00194789">
              <w:rPr>
                <w:rFonts w:asciiTheme="minorHAnsi" w:hAnsiTheme="minorHAnsi" w:cstheme="minorHAnsi"/>
              </w:rPr>
              <w:lastRenderedPageBreak/>
              <w:t>management and workplace performance; and</w:t>
            </w:r>
          </w:p>
          <w:p w14:paraId="1BEFB3FF" w14:textId="775C6DC7" w:rsidR="00497B95" w:rsidRPr="002D2A3E" w:rsidRDefault="00194789" w:rsidP="002D2A3E">
            <w:pPr>
              <w:pStyle w:val="ListParagraph"/>
              <w:numPr>
                <w:ilvl w:val="0"/>
                <w:numId w:val="19"/>
              </w:numPr>
              <w:spacing w:before="120" w:after="120" w:line="240" w:lineRule="auto"/>
              <w:contextualSpacing w:val="0"/>
              <w:rPr>
                <w:rFonts w:asciiTheme="minorHAnsi" w:hAnsiTheme="minorHAnsi" w:cstheme="minorHAnsi"/>
              </w:rPr>
            </w:pPr>
            <w:r w:rsidRPr="00194789">
              <w:rPr>
                <w:rFonts w:asciiTheme="minorHAnsi" w:hAnsiTheme="minorHAnsi" w:cstheme="minorHAnsi"/>
              </w:rPr>
              <w:t>strengthening research capacity.</w:t>
            </w:r>
          </w:p>
        </w:tc>
      </w:tr>
      <w:tr w:rsidR="00D872B4" w:rsidRPr="000C21B7" w14:paraId="5052CFDF"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BB69094" w14:textId="6630B98C" w:rsidR="00D872B4" w:rsidRPr="001350F5" w:rsidRDefault="00D872B4" w:rsidP="00B60A9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118</w:t>
            </w:r>
          </w:p>
        </w:tc>
        <w:tc>
          <w:tcPr>
            <w:tcW w:w="5859" w:type="dxa"/>
            <w:tcBorders>
              <w:top w:val="single" w:sz="4" w:space="0" w:color="auto"/>
              <w:left w:val="nil"/>
              <w:bottom w:val="single" w:sz="4" w:space="0" w:color="auto"/>
              <w:right w:val="single" w:sz="4" w:space="0" w:color="auto"/>
            </w:tcBorders>
            <w:shd w:val="clear" w:color="auto" w:fill="auto"/>
          </w:tcPr>
          <w:p w14:paraId="55D56F35" w14:textId="2FEC5E3C" w:rsidR="00D872B4" w:rsidRPr="001350F5" w:rsidRDefault="00194789" w:rsidP="00B60A9E">
            <w:pPr>
              <w:spacing w:before="120" w:after="120" w:line="240" w:lineRule="auto"/>
              <w:rPr>
                <w:rFonts w:asciiTheme="minorHAnsi" w:hAnsiTheme="minorHAnsi" w:cstheme="minorHAnsi"/>
                <w:szCs w:val="20"/>
              </w:rPr>
            </w:pPr>
            <w:r>
              <w:rPr>
                <w:rFonts w:asciiTheme="minorHAnsi" w:hAnsiTheme="minorHAnsi" w:cstheme="minorHAnsi"/>
                <w:szCs w:val="20"/>
              </w:rPr>
              <w:t>What is the extent of the Productivity Hub’s contribution to the overall research on productivity, and how is the impact of the H</w:t>
            </w:r>
            <w:r w:rsidR="008F64E3">
              <w:rPr>
                <w:rFonts w:asciiTheme="minorHAnsi" w:hAnsiTheme="minorHAnsi" w:cstheme="minorHAnsi"/>
                <w:szCs w:val="20"/>
              </w:rPr>
              <w:t>u</w:t>
            </w:r>
            <w:r>
              <w:rPr>
                <w:rFonts w:asciiTheme="minorHAnsi" w:hAnsiTheme="minorHAnsi" w:cstheme="minorHAnsi"/>
                <w:szCs w:val="20"/>
              </w:rPr>
              <w:t>b’s work assessed?</w:t>
            </w:r>
          </w:p>
        </w:tc>
        <w:tc>
          <w:tcPr>
            <w:tcW w:w="7650" w:type="dxa"/>
            <w:tcBorders>
              <w:top w:val="single" w:sz="4" w:space="0" w:color="auto"/>
              <w:left w:val="nil"/>
              <w:bottom w:val="single" w:sz="4" w:space="0" w:color="auto"/>
              <w:right w:val="single" w:sz="4" w:space="0" w:color="auto"/>
            </w:tcBorders>
            <w:shd w:val="clear" w:color="auto" w:fill="auto"/>
            <w:noWrap/>
          </w:tcPr>
          <w:p w14:paraId="56D0E0CF" w14:textId="3C12F69C" w:rsidR="00E63D87" w:rsidRDefault="00E63D87" w:rsidP="00194789">
            <w:pPr>
              <w:spacing w:before="120" w:after="120" w:line="240" w:lineRule="auto"/>
              <w:rPr>
                <w:rFonts w:asciiTheme="minorHAnsi" w:hAnsiTheme="minorHAnsi" w:cstheme="minorHAnsi"/>
              </w:rPr>
            </w:pPr>
            <w:r>
              <w:rPr>
                <w:rFonts w:asciiTheme="minorHAnsi" w:hAnsiTheme="minorHAnsi" w:cstheme="minorHAnsi"/>
              </w:rPr>
              <w:t xml:space="preserve">From November 2013 to June 2016 the </w:t>
            </w:r>
            <w:r w:rsidR="00194789" w:rsidRPr="00194789">
              <w:rPr>
                <w:rFonts w:asciiTheme="minorHAnsi" w:hAnsiTheme="minorHAnsi" w:cstheme="minorHAnsi"/>
              </w:rPr>
              <w:t>Productivity Hub agencies</w:t>
            </w:r>
            <w:r>
              <w:rPr>
                <w:rFonts w:asciiTheme="minorHAnsi" w:hAnsiTheme="minorHAnsi" w:cstheme="minorHAnsi"/>
              </w:rPr>
              <w:t>, along with Motu Economics and Public Policy Research,</w:t>
            </w:r>
            <w:r w:rsidR="00194789" w:rsidRPr="00194789">
              <w:rPr>
                <w:rFonts w:asciiTheme="minorHAnsi" w:hAnsiTheme="minorHAnsi" w:cstheme="minorHAnsi"/>
              </w:rPr>
              <w:t xml:space="preserve"> </w:t>
            </w:r>
            <w:r>
              <w:rPr>
                <w:rFonts w:asciiTheme="minorHAnsi" w:hAnsiTheme="minorHAnsi" w:cstheme="minorHAnsi"/>
              </w:rPr>
              <w:t>collaborated on a partnership using the Longitudinal Business Database</w:t>
            </w:r>
            <w:r w:rsidR="00335A55">
              <w:rPr>
                <w:rFonts w:asciiTheme="minorHAnsi" w:hAnsiTheme="minorHAnsi" w:cstheme="minorHAnsi"/>
              </w:rPr>
              <w:t xml:space="preserve"> (LBD)</w:t>
            </w:r>
            <w:r>
              <w:rPr>
                <w:rFonts w:asciiTheme="minorHAnsi" w:hAnsiTheme="minorHAnsi" w:cstheme="minorHAnsi"/>
              </w:rPr>
              <w:t xml:space="preserve">. </w:t>
            </w:r>
            <w:r w:rsidR="00335A55" w:rsidRPr="00335A55">
              <w:rPr>
                <w:rFonts w:asciiTheme="minorHAnsi" w:hAnsiTheme="minorHAnsi" w:cstheme="minorHAnsi"/>
              </w:rPr>
              <w:t xml:space="preserve">The LBD provides a detailed view of firms’ behaviour and performance across a broad range of topics (Fabling &amp; Sanderson, 2016). Over recent years there has been a focus on how micro-data can transform thinking on social policy in New Zealand. The data on the firm side </w:t>
            </w:r>
            <w:r w:rsidR="00335A55">
              <w:rPr>
                <w:rFonts w:asciiTheme="minorHAnsi" w:hAnsiTheme="minorHAnsi" w:cstheme="minorHAnsi"/>
              </w:rPr>
              <w:t xml:space="preserve">could be </w:t>
            </w:r>
            <w:r w:rsidR="00335A55" w:rsidRPr="00335A55">
              <w:rPr>
                <w:rFonts w:asciiTheme="minorHAnsi" w:hAnsiTheme="minorHAnsi" w:cstheme="minorHAnsi"/>
              </w:rPr>
              <w:t xml:space="preserve">as powerful. </w:t>
            </w:r>
            <w:r>
              <w:rPr>
                <w:rFonts w:asciiTheme="minorHAnsi" w:hAnsiTheme="minorHAnsi" w:cstheme="minorHAnsi"/>
              </w:rPr>
              <w:t>A review of th</w:t>
            </w:r>
            <w:r w:rsidR="00335A55">
              <w:rPr>
                <w:rFonts w:asciiTheme="minorHAnsi" w:hAnsiTheme="minorHAnsi" w:cstheme="minorHAnsi"/>
              </w:rPr>
              <w:t xml:space="preserve">e LBD </w:t>
            </w:r>
            <w:r>
              <w:rPr>
                <w:rFonts w:asciiTheme="minorHAnsi" w:hAnsiTheme="minorHAnsi" w:cstheme="minorHAnsi"/>
              </w:rPr>
              <w:t xml:space="preserve">partnership concluded that </w:t>
            </w:r>
            <w:r w:rsidR="00335A55">
              <w:rPr>
                <w:rFonts w:asciiTheme="minorHAnsi" w:hAnsiTheme="minorHAnsi" w:cstheme="minorHAnsi"/>
              </w:rPr>
              <w:t>the quality of the research produced was high but the partnership was less successful at a</w:t>
            </w:r>
            <w:r>
              <w:rPr>
                <w:rFonts w:asciiTheme="minorHAnsi" w:hAnsiTheme="minorHAnsi" w:cstheme="minorHAnsi"/>
              </w:rPr>
              <w:t>chiev</w:t>
            </w:r>
            <w:r w:rsidR="00335A55">
              <w:rPr>
                <w:rFonts w:asciiTheme="minorHAnsi" w:hAnsiTheme="minorHAnsi" w:cstheme="minorHAnsi"/>
              </w:rPr>
              <w:t xml:space="preserve">ing its </w:t>
            </w:r>
            <w:r>
              <w:rPr>
                <w:rFonts w:asciiTheme="minorHAnsi" w:hAnsiTheme="minorHAnsi" w:cstheme="minorHAnsi"/>
              </w:rPr>
              <w:t xml:space="preserve">objectives of building </w:t>
            </w:r>
            <w:r w:rsidR="00335A55">
              <w:rPr>
                <w:rFonts w:asciiTheme="minorHAnsi" w:hAnsiTheme="minorHAnsi" w:cstheme="minorHAnsi"/>
              </w:rPr>
              <w:t xml:space="preserve">broader </w:t>
            </w:r>
            <w:r>
              <w:rPr>
                <w:rFonts w:asciiTheme="minorHAnsi" w:hAnsiTheme="minorHAnsi" w:cstheme="minorHAnsi"/>
              </w:rPr>
              <w:t xml:space="preserve">capability with </w:t>
            </w:r>
            <w:r w:rsidR="00335A55">
              <w:rPr>
                <w:rFonts w:asciiTheme="minorHAnsi" w:hAnsiTheme="minorHAnsi" w:cstheme="minorHAnsi"/>
              </w:rPr>
              <w:t xml:space="preserve">using </w:t>
            </w:r>
            <w:r>
              <w:rPr>
                <w:rFonts w:asciiTheme="minorHAnsi" w:hAnsiTheme="minorHAnsi" w:cstheme="minorHAnsi"/>
              </w:rPr>
              <w:t>the dataset.</w:t>
            </w:r>
          </w:p>
          <w:p w14:paraId="78181E64" w14:textId="63F5CC03" w:rsidR="00D872B4" w:rsidRPr="00194789" w:rsidRDefault="00335A55" w:rsidP="00194789">
            <w:pPr>
              <w:spacing w:before="120" w:after="120" w:line="240" w:lineRule="auto"/>
              <w:rPr>
                <w:rFonts w:asciiTheme="minorHAnsi" w:hAnsiTheme="minorHAnsi" w:cstheme="minorHAnsi"/>
              </w:rPr>
            </w:pPr>
            <w:r>
              <w:rPr>
                <w:rFonts w:asciiTheme="minorHAnsi" w:hAnsiTheme="minorHAnsi" w:cstheme="minorHAnsi"/>
              </w:rPr>
              <w:t xml:space="preserve">Since June 2016 agencies have collaborated on </w:t>
            </w:r>
            <w:r w:rsidR="00DF19FA">
              <w:rPr>
                <w:rFonts w:asciiTheme="minorHAnsi" w:hAnsiTheme="minorHAnsi" w:cstheme="minorHAnsi"/>
              </w:rPr>
              <w:t>productivity research o</w:t>
            </w:r>
            <w:r>
              <w:rPr>
                <w:rFonts w:asciiTheme="minorHAnsi" w:hAnsiTheme="minorHAnsi" w:cstheme="minorHAnsi"/>
              </w:rPr>
              <w:t>n an ad hoc basis. Th</w:t>
            </w:r>
            <w:r w:rsidR="00566723">
              <w:rPr>
                <w:rFonts w:asciiTheme="minorHAnsi" w:hAnsiTheme="minorHAnsi" w:cstheme="minorHAnsi"/>
              </w:rPr>
              <w:t xml:space="preserve">e Commission’s view is that this </w:t>
            </w:r>
            <w:r>
              <w:rPr>
                <w:rFonts w:asciiTheme="minorHAnsi" w:hAnsiTheme="minorHAnsi" w:cstheme="minorHAnsi"/>
              </w:rPr>
              <w:t xml:space="preserve">has </w:t>
            </w:r>
            <w:r w:rsidR="00EF5BC1">
              <w:rPr>
                <w:rFonts w:asciiTheme="minorHAnsi" w:hAnsiTheme="minorHAnsi" w:cstheme="minorHAnsi"/>
              </w:rPr>
              <w:t xml:space="preserve">not helped </w:t>
            </w:r>
            <w:r w:rsidR="00DF19FA">
              <w:rPr>
                <w:rFonts w:asciiTheme="minorHAnsi" w:hAnsiTheme="minorHAnsi" w:cstheme="minorHAnsi"/>
              </w:rPr>
              <w:t xml:space="preserve">maintain </w:t>
            </w:r>
            <w:r w:rsidR="00CF43EF">
              <w:rPr>
                <w:rFonts w:asciiTheme="minorHAnsi" w:hAnsiTheme="minorHAnsi" w:cstheme="minorHAnsi"/>
              </w:rPr>
              <w:t xml:space="preserve">the Hub’s </w:t>
            </w:r>
            <w:r w:rsidR="00DF19FA">
              <w:rPr>
                <w:rFonts w:asciiTheme="minorHAnsi" w:hAnsiTheme="minorHAnsi" w:cstheme="minorHAnsi"/>
              </w:rPr>
              <w:t xml:space="preserve">momentum or </w:t>
            </w:r>
            <w:r w:rsidR="00EF5BC1">
              <w:rPr>
                <w:rFonts w:asciiTheme="minorHAnsi" w:hAnsiTheme="minorHAnsi" w:cstheme="minorHAnsi"/>
              </w:rPr>
              <w:t xml:space="preserve">build </w:t>
            </w:r>
            <w:r>
              <w:rPr>
                <w:rFonts w:asciiTheme="minorHAnsi" w:hAnsiTheme="minorHAnsi" w:cstheme="minorHAnsi"/>
              </w:rPr>
              <w:t>broader capability</w:t>
            </w:r>
            <w:r w:rsidR="00DF19FA">
              <w:rPr>
                <w:rFonts w:asciiTheme="minorHAnsi" w:hAnsiTheme="minorHAnsi" w:cstheme="minorHAnsi"/>
              </w:rPr>
              <w:t xml:space="preserve"> with the LBD</w:t>
            </w:r>
            <w:r w:rsidR="00566723">
              <w:rPr>
                <w:rFonts w:asciiTheme="minorHAnsi" w:hAnsiTheme="minorHAnsi" w:cstheme="minorHAnsi"/>
              </w:rPr>
              <w:t>, as reflected in the</w:t>
            </w:r>
            <w:r w:rsidR="00EF5BC1">
              <w:rPr>
                <w:rFonts w:asciiTheme="minorHAnsi" w:hAnsiTheme="minorHAnsi" w:cstheme="minorHAnsi"/>
              </w:rPr>
              <w:t xml:space="preserve"> </w:t>
            </w:r>
            <w:r w:rsidR="00566723">
              <w:rPr>
                <w:rFonts w:asciiTheme="minorHAnsi" w:hAnsiTheme="minorHAnsi" w:cstheme="minorHAnsi"/>
              </w:rPr>
              <w:t>overall number of agency researchers u</w:t>
            </w:r>
            <w:r>
              <w:rPr>
                <w:rFonts w:asciiTheme="minorHAnsi" w:hAnsiTheme="minorHAnsi" w:cstheme="minorHAnsi"/>
              </w:rPr>
              <w:t xml:space="preserve">sing the dataset. </w:t>
            </w:r>
            <w:r w:rsidR="008F64E3">
              <w:rPr>
                <w:rFonts w:asciiTheme="minorHAnsi" w:hAnsiTheme="minorHAnsi" w:cstheme="minorHAnsi"/>
              </w:rPr>
              <w:t xml:space="preserve">The Productivity Commission </w:t>
            </w:r>
            <w:r w:rsidR="00DF19FA">
              <w:rPr>
                <w:rFonts w:asciiTheme="minorHAnsi" w:hAnsiTheme="minorHAnsi" w:cstheme="minorHAnsi"/>
              </w:rPr>
              <w:t xml:space="preserve">has aimed </w:t>
            </w:r>
            <w:r w:rsidR="008F64E3">
              <w:rPr>
                <w:rFonts w:asciiTheme="minorHAnsi" w:hAnsiTheme="minorHAnsi" w:cstheme="minorHAnsi"/>
              </w:rPr>
              <w:t xml:space="preserve">to </w:t>
            </w:r>
            <w:r w:rsidR="00566723">
              <w:rPr>
                <w:rFonts w:asciiTheme="minorHAnsi" w:hAnsiTheme="minorHAnsi" w:cstheme="minorHAnsi"/>
              </w:rPr>
              <w:t xml:space="preserve">support capability </w:t>
            </w:r>
            <w:r w:rsidR="00DF19FA">
              <w:rPr>
                <w:rFonts w:asciiTheme="minorHAnsi" w:hAnsiTheme="minorHAnsi" w:cstheme="minorHAnsi"/>
              </w:rPr>
              <w:t xml:space="preserve">building </w:t>
            </w:r>
            <w:r w:rsidR="008F64E3">
              <w:rPr>
                <w:rFonts w:asciiTheme="minorHAnsi" w:hAnsiTheme="minorHAnsi" w:cstheme="minorHAnsi"/>
              </w:rPr>
              <w:t>(e.g., through efforts to develop a cross-agency work programme, providing networking and knowledge sharing functions for researchers) but is no</w:t>
            </w:r>
            <w:r w:rsidR="00566723">
              <w:rPr>
                <w:rFonts w:asciiTheme="minorHAnsi" w:hAnsiTheme="minorHAnsi" w:cstheme="minorHAnsi"/>
              </w:rPr>
              <w:t xml:space="preserve">t funded to </w:t>
            </w:r>
            <w:r w:rsidR="00DF19FA">
              <w:rPr>
                <w:rFonts w:asciiTheme="minorHAnsi" w:hAnsiTheme="minorHAnsi" w:cstheme="minorHAnsi"/>
              </w:rPr>
              <w:t xml:space="preserve">provide </w:t>
            </w:r>
            <w:r w:rsidR="008F64E3">
              <w:rPr>
                <w:rFonts w:asciiTheme="minorHAnsi" w:hAnsiTheme="minorHAnsi" w:cstheme="minorHAnsi"/>
              </w:rPr>
              <w:t>the</w:t>
            </w:r>
            <w:r w:rsidR="00566723">
              <w:rPr>
                <w:rFonts w:asciiTheme="minorHAnsi" w:hAnsiTheme="minorHAnsi" w:cstheme="minorHAnsi"/>
              </w:rPr>
              <w:t>se services</w:t>
            </w:r>
            <w:r>
              <w:rPr>
                <w:rFonts w:asciiTheme="minorHAnsi" w:hAnsiTheme="minorHAnsi" w:cstheme="minorHAnsi"/>
              </w:rPr>
              <w:t>.</w:t>
            </w:r>
            <w:r w:rsidR="00566723">
              <w:rPr>
                <w:rFonts w:asciiTheme="minorHAnsi" w:hAnsiTheme="minorHAnsi" w:cstheme="minorHAnsi"/>
              </w:rPr>
              <w:t xml:space="preserve"> The Commission is </w:t>
            </w:r>
            <w:r w:rsidR="00DF19FA">
              <w:rPr>
                <w:rFonts w:asciiTheme="minorHAnsi" w:hAnsiTheme="minorHAnsi" w:cstheme="minorHAnsi"/>
              </w:rPr>
              <w:t xml:space="preserve">concerned that the </w:t>
            </w:r>
            <w:r w:rsidR="00566723">
              <w:rPr>
                <w:rFonts w:asciiTheme="minorHAnsi" w:hAnsiTheme="minorHAnsi" w:cstheme="minorHAnsi"/>
              </w:rPr>
              <w:t xml:space="preserve">LBD </w:t>
            </w:r>
            <w:r w:rsidR="00DF19FA">
              <w:rPr>
                <w:rFonts w:asciiTheme="minorHAnsi" w:hAnsiTheme="minorHAnsi" w:cstheme="minorHAnsi"/>
              </w:rPr>
              <w:t xml:space="preserve">could </w:t>
            </w:r>
            <w:r w:rsidR="00566723">
              <w:rPr>
                <w:rFonts w:asciiTheme="minorHAnsi" w:hAnsiTheme="minorHAnsi" w:cstheme="minorHAnsi"/>
              </w:rPr>
              <w:t>becom</w:t>
            </w:r>
            <w:r w:rsidR="00DF19FA">
              <w:rPr>
                <w:rFonts w:asciiTheme="minorHAnsi" w:hAnsiTheme="minorHAnsi" w:cstheme="minorHAnsi"/>
              </w:rPr>
              <w:t xml:space="preserve">e </w:t>
            </w:r>
            <w:r w:rsidR="00566723">
              <w:rPr>
                <w:rFonts w:asciiTheme="minorHAnsi" w:hAnsiTheme="minorHAnsi" w:cstheme="minorHAnsi"/>
              </w:rPr>
              <w:t>a stranded asset.</w:t>
            </w:r>
          </w:p>
        </w:tc>
      </w:tr>
      <w:tr w:rsidR="00D872B4" w:rsidRPr="000C21B7" w14:paraId="7740D7A6"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5F858F3A" w14:textId="47F71318" w:rsidR="00D872B4" w:rsidRPr="001350F5" w:rsidRDefault="00D872B4" w:rsidP="00B60A9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119</w:t>
            </w:r>
          </w:p>
        </w:tc>
        <w:tc>
          <w:tcPr>
            <w:tcW w:w="5859" w:type="dxa"/>
            <w:tcBorders>
              <w:top w:val="single" w:sz="4" w:space="0" w:color="auto"/>
              <w:left w:val="nil"/>
              <w:bottom w:val="single" w:sz="4" w:space="0" w:color="auto"/>
              <w:right w:val="single" w:sz="4" w:space="0" w:color="auto"/>
            </w:tcBorders>
            <w:shd w:val="clear" w:color="auto" w:fill="auto"/>
          </w:tcPr>
          <w:p w14:paraId="21D48E78" w14:textId="5DDE82DB" w:rsidR="00D872B4" w:rsidRPr="001350F5" w:rsidRDefault="00194789" w:rsidP="00B60A9E">
            <w:pPr>
              <w:spacing w:before="120" w:after="120" w:line="240" w:lineRule="auto"/>
              <w:rPr>
                <w:rFonts w:asciiTheme="minorHAnsi" w:hAnsiTheme="minorHAnsi" w:cstheme="minorHAnsi"/>
                <w:szCs w:val="20"/>
              </w:rPr>
            </w:pPr>
            <w:r>
              <w:rPr>
                <w:rFonts w:asciiTheme="minorHAnsi" w:hAnsiTheme="minorHAnsi" w:cstheme="minorHAnsi"/>
                <w:szCs w:val="20"/>
              </w:rPr>
              <w:t>How does the Hub prioritise which research work to undertake, and how does the Commission ensure that the Hub’s research and its own are complementary?</w:t>
            </w:r>
          </w:p>
        </w:tc>
        <w:tc>
          <w:tcPr>
            <w:tcW w:w="7650" w:type="dxa"/>
            <w:tcBorders>
              <w:top w:val="single" w:sz="4" w:space="0" w:color="auto"/>
              <w:left w:val="nil"/>
              <w:bottom w:val="single" w:sz="4" w:space="0" w:color="auto"/>
              <w:right w:val="single" w:sz="4" w:space="0" w:color="auto"/>
            </w:tcBorders>
            <w:shd w:val="clear" w:color="auto" w:fill="auto"/>
            <w:noWrap/>
          </w:tcPr>
          <w:p w14:paraId="726A68BC" w14:textId="3358BDF2" w:rsidR="00D872B4" w:rsidRPr="00194789" w:rsidRDefault="00087319" w:rsidP="00194789">
            <w:pPr>
              <w:spacing w:before="120" w:after="120" w:line="240" w:lineRule="auto"/>
              <w:rPr>
                <w:rFonts w:asciiTheme="minorHAnsi" w:hAnsiTheme="minorHAnsi" w:cstheme="minorHAnsi"/>
              </w:rPr>
            </w:pPr>
            <w:r>
              <w:rPr>
                <w:rFonts w:asciiTheme="minorHAnsi" w:hAnsiTheme="minorHAnsi" w:cstheme="minorHAnsi"/>
              </w:rPr>
              <w:t>T</w:t>
            </w:r>
            <w:r w:rsidR="00194789" w:rsidRPr="00194789">
              <w:rPr>
                <w:rFonts w:asciiTheme="minorHAnsi" w:hAnsiTheme="minorHAnsi" w:cstheme="minorHAnsi"/>
              </w:rPr>
              <w:t xml:space="preserve">he Commission </w:t>
            </w:r>
            <w:r>
              <w:rPr>
                <w:rFonts w:asciiTheme="minorHAnsi" w:hAnsiTheme="minorHAnsi" w:cstheme="minorHAnsi"/>
              </w:rPr>
              <w:t xml:space="preserve">shares </w:t>
            </w:r>
            <w:r w:rsidR="00194789" w:rsidRPr="00194789">
              <w:rPr>
                <w:rFonts w:asciiTheme="minorHAnsi" w:hAnsiTheme="minorHAnsi" w:cstheme="minorHAnsi"/>
              </w:rPr>
              <w:t xml:space="preserve">its research priorities with other Productivity Hub agencies.  Hub agencies share and discuss their individual work plans, research proposals, and draft material. In </w:t>
            </w:r>
            <w:r>
              <w:rPr>
                <w:rFonts w:asciiTheme="minorHAnsi" w:hAnsiTheme="minorHAnsi" w:cstheme="minorHAnsi"/>
              </w:rPr>
              <w:t>a small number of cases</w:t>
            </w:r>
            <w:r w:rsidR="00194789" w:rsidRPr="00194789">
              <w:rPr>
                <w:rFonts w:asciiTheme="minorHAnsi" w:hAnsiTheme="minorHAnsi" w:cstheme="minorHAnsi"/>
              </w:rPr>
              <w:t>, such as with a recent update of the productivity dataset in the LBD and development of competition metrics, agencies collectively contract providers and have cross-agency governance arrangements.</w:t>
            </w:r>
          </w:p>
        </w:tc>
      </w:tr>
      <w:tr w:rsidR="00D872B4" w:rsidRPr="000C21B7" w14:paraId="32FF4FCD"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20502FAC" w14:textId="5ACBEA76" w:rsidR="00D872B4" w:rsidRDefault="00D872B4" w:rsidP="00B60A9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120</w:t>
            </w:r>
          </w:p>
        </w:tc>
        <w:tc>
          <w:tcPr>
            <w:tcW w:w="5859" w:type="dxa"/>
            <w:tcBorders>
              <w:top w:val="single" w:sz="4" w:space="0" w:color="auto"/>
              <w:left w:val="nil"/>
              <w:bottom w:val="single" w:sz="4" w:space="0" w:color="auto"/>
              <w:right w:val="single" w:sz="4" w:space="0" w:color="auto"/>
            </w:tcBorders>
            <w:shd w:val="clear" w:color="auto" w:fill="auto"/>
          </w:tcPr>
          <w:p w14:paraId="3F41A46A" w14:textId="608F5B5D" w:rsidR="00D872B4" w:rsidRPr="001350F5" w:rsidRDefault="00194789" w:rsidP="00B60A9E">
            <w:pPr>
              <w:spacing w:before="120" w:after="120" w:line="240" w:lineRule="auto"/>
              <w:rPr>
                <w:rFonts w:asciiTheme="minorHAnsi" w:hAnsiTheme="minorHAnsi" w:cstheme="minorHAnsi"/>
                <w:szCs w:val="20"/>
              </w:rPr>
            </w:pPr>
            <w:r>
              <w:rPr>
                <w:rFonts w:asciiTheme="minorHAnsi" w:hAnsiTheme="minorHAnsi" w:cstheme="minorHAnsi"/>
                <w:szCs w:val="20"/>
              </w:rPr>
              <w:t>What improvements could be made to the quantity and quality of the Hub’s research and promotion of productivity, and what are the opportunities and barriers to doing so?</w:t>
            </w:r>
          </w:p>
        </w:tc>
        <w:tc>
          <w:tcPr>
            <w:tcW w:w="7650" w:type="dxa"/>
            <w:tcBorders>
              <w:top w:val="single" w:sz="4" w:space="0" w:color="auto"/>
              <w:left w:val="nil"/>
              <w:bottom w:val="single" w:sz="4" w:space="0" w:color="auto"/>
              <w:right w:val="single" w:sz="4" w:space="0" w:color="auto"/>
            </w:tcBorders>
            <w:shd w:val="clear" w:color="auto" w:fill="auto"/>
            <w:noWrap/>
          </w:tcPr>
          <w:p w14:paraId="698B828A" w14:textId="77777777" w:rsidR="00194789" w:rsidRPr="00194789" w:rsidRDefault="00194789" w:rsidP="00194789">
            <w:pPr>
              <w:spacing w:before="120" w:after="120"/>
              <w:rPr>
                <w:rFonts w:asciiTheme="minorHAnsi" w:hAnsiTheme="minorHAnsi" w:cstheme="minorHAnsi"/>
              </w:rPr>
            </w:pPr>
            <w:r w:rsidRPr="00194789">
              <w:rPr>
                <w:rFonts w:asciiTheme="minorHAnsi" w:hAnsiTheme="minorHAnsi" w:cstheme="minorHAnsi"/>
              </w:rPr>
              <w:t>The Commission’s view is that the main areas where improvements could be made to the Hub’s research programme are:</w:t>
            </w:r>
          </w:p>
          <w:p w14:paraId="281BD395" w14:textId="6DD1236D" w:rsidR="00194789" w:rsidRPr="00194789" w:rsidRDefault="00194789" w:rsidP="00194789">
            <w:pPr>
              <w:pStyle w:val="ListParagraph"/>
              <w:numPr>
                <w:ilvl w:val="0"/>
                <w:numId w:val="20"/>
              </w:numPr>
              <w:spacing w:before="120" w:after="120" w:line="259" w:lineRule="auto"/>
              <w:contextualSpacing w:val="0"/>
              <w:rPr>
                <w:rFonts w:asciiTheme="minorHAnsi" w:hAnsiTheme="minorHAnsi" w:cstheme="minorHAnsi"/>
              </w:rPr>
            </w:pPr>
            <w:r w:rsidRPr="00194789">
              <w:rPr>
                <w:rFonts w:asciiTheme="minorHAnsi" w:hAnsiTheme="minorHAnsi" w:cstheme="minorHAnsi"/>
              </w:rPr>
              <w:t xml:space="preserve">Encouraging continuity of effort: productivity research in New Zealand has been characterised by a stop-start nature. Thus, while some progress has been made, the stop-start nature reduces the ability to continue the growth of the stock of knowledge </w:t>
            </w:r>
            <w:r w:rsidR="00EF5BC1">
              <w:rPr>
                <w:rFonts w:asciiTheme="minorHAnsi" w:hAnsiTheme="minorHAnsi" w:cstheme="minorHAnsi"/>
              </w:rPr>
              <w:t xml:space="preserve">and research capability </w:t>
            </w:r>
            <w:r w:rsidRPr="00194789">
              <w:rPr>
                <w:rFonts w:asciiTheme="minorHAnsi" w:hAnsiTheme="minorHAnsi" w:cstheme="minorHAnsi"/>
              </w:rPr>
              <w:t>over time.</w:t>
            </w:r>
          </w:p>
          <w:p w14:paraId="4E90C0BD" w14:textId="77777777" w:rsidR="00194789" w:rsidRPr="00194789" w:rsidRDefault="00194789" w:rsidP="00194789">
            <w:pPr>
              <w:pStyle w:val="ListParagraph"/>
              <w:numPr>
                <w:ilvl w:val="0"/>
                <w:numId w:val="20"/>
              </w:numPr>
              <w:spacing w:before="120" w:after="120" w:line="259" w:lineRule="auto"/>
              <w:contextualSpacing w:val="0"/>
              <w:rPr>
                <w:rFonts w:asciiTheme="minorHAnsi" w:hAnsiTheme="minorHAnsi" w:cstheme="minorHAnsi"/>
              </w:rPr>
            </w:pPr>
            <w:r w:rsidRPr="00194789">
              <w:rPr>
                <w:rFonts w:asciiTheme="minorHAnsi" w:hAnsiTheme="minorHAnsi" w:cstheme="minorHAnsi"/>
              </w:rPr>
              <w:lastRenderedPageBreak/>
              <w:t>Better connecting research to policy: the ability to draw on both industry-level and firm-level data has transformed understanding of New Zealand’s productivity performance over the last 10 years. A next step could be to further draw out the implications of this research for policymakers. This requires a portfolio of research approaches. Thus, as well as empirical analysis using industry-level and firm-level data, there could be value in more use of secondary research (e.g., summarising key findings from earlier studies), qualitative approaches, and other empirical approaches (such as the evaluation of policy experiments).</w:t>
            </w:r>
          </w:p>
          <w:p w14:paraId="223EE2B0" w14:textId="77777777" w:rsidR="00194789" w:rsidRPr="00194789" w:rsidRDefault="00194789" w:rsidP="00194789">
            <w:pPr>
              <w:pStyle w:val="ListParagraph"/>
              <w:numPr>
                <w:ilvl w:val="0"/>
                <w:numId w:val="20"/>
              </w:numPr>
              <w:spacing w:before="120" w:after="120" w:line="259" w:lineRule="auto"/>
              <w:contextualSpacing w:val="0"/>
              <w:rPr>
                <w:rFonts w:asciiTheme="minorHAnsi" w:hAnsiTheme="minorHAnsi" w:cstheme="minorHAnsi"/>
              </w:rPr>
            </w:pPr>
            <w:r w:rsidRPr="00194789">
              <w:rPr>
                <w:rFonts w:asciiTheme="minorHAnsi" w:hAnsiTheme="minorHAnsi" w:cstheme="minorHAnsi"/>
              </w:rPr>
              <w:t>Increased engagement with the broader research community: Commission staff have made considerable effort to engage with the wider-research community in New Zealand, including academic researchers interested in productivity. But with few exceptions, such as the fruitful collaboration with the Chair in Public Finance at Victoria University of Wellington, the efforts to engage academic researchers have not been as successful as hoped.</w:t>
            </w:r>
          </w:p>
          <w:p w14:paraId="618B2D1D" w14:textId="6E7BBF7C" w:rsidR="00194789" w:rsidRPr="00194789" w:rsidRDefault="00194789" w:rsidP="00194789">
            <w:pPr>
              <w:spacing w:before="120" w:after="120"/>
              <w:rPr>
                <w:rFonts w:asciiTheme="minorHAnsi" w:hAnsiTheme="minorHAnsi" w:cstheme="minorHAnsi"/>
              </w:rPr>
            </w:pPr>
            <w:r w:rsidRPr="00194789">
              <w:rPr>
                <w:rFonts w:asciiTheme="minorHAnsi" w:hAnsiTheme="minorHAnsi" w:cstheme="minorHAnsi"/>
              </w:rPr>
              <w:t xml:space="preserve">Having an agreed forward-looking agenda of research will help partly address these issues. A medium-term agenda will, for example, provide academic researchers with greater certainty over the topics of interest to policymakers and encourage their investment in research on these topics. Indeed, the refresh of the </w:t>
            </w:r>
            <w:r w:rsidR="00EF5BC1">
              <w:rPr>
                <w:rFonts w:asciiTheme="minorHAnsi" w:hAnsiTheme="minorHAnsi" w:cstheme="minorHAnsi"/>
              </w:rPr>
              <w:t xml:space="preserve">Commission’s </w:t>
            </w:r>
            <w:r w:rsidRPr="00194789">
              <w:rPr>
                <w:rFonts w:asciiTheme="minorHAnsi" w:hAnsiTheme="minorHAnsi" w:cstheme="minorHAnsi"/>
              </w:rPr>
              <w:t>research agenda is already generating improved engagement with university researchers.</w:t>
            </w:r>
          </w:p>
          <w:p w14:paraId="544D428F" w14:textId="38A3A7F6" w:rsidR="00D872B4" w:rsidRPr="00194789" w:rsidRDefault="00194789" w:rsidP="00194789">
            <w:pPr>
              <w:spacing w:before="120" w:after="120"/>
              <w:rPr>
                <w:rFonts w:asciiTheme="minorHAnsi" w:hAnsiTheme="minorHAnsi" w:cstheme="minorHAnsi"/>
              </w:rPr>
            </w:pPr>
            <w:r w:rsidRPr="00194789">
              <w:rPr>
                <w:rFonts w:asciiTheme="minorHAnsi" w:hAnsiTheme="minorHAnsi" w:cstheme="minorHAnsi"/>
              </w:rPr>
              <w:t>There is, however, an ongoing issue of the level of resourcing of productivity research. In his recent review of the Commission’s economics and research team, Professor Bob Buckle noted that the work of the Commission has meant that some core public-sector agencies previously involved in productivity research have felt they could downscale their own capability in this area. The Commission has not had a budget increase since establishment (2011) and is no</w:t>
            </w:r>
            <w:r w:rsidR="00DF19FA">
              <w:rPr>
                <w:rFonts w:asciiTheme="minorHAnsi" w:hAnsiTheme="minorHAnsi" w:cstheme="minorHAnsi"/>
              </w:rPr>
              <w:t xml:space="preserve">t funded to </w:t>
            </w:r>
            <w:r w:rsidRPr="00194789">
              <w:rPr>
                <w:rFonts w:asciiTheme="minorHAnsi" w:hAnsiTheme="minorHAnsi" w:cstheme="minorHAnsi"/>
              </w:rPr>
              <w:t>coordinat</w:t>
            </w:r>
            <w:r w:rsidR="00DF19FA">
              <w:rPr>
                <w:rFonts w:asciiTheme="minorHAnsi" w:hAnsiTheme="minorHAnsi" w:cstheme="minorHAnsi"/>
              </w:rPr>
              <w:t xml:space="preserve">e </w:t>
            </w:r>
            <w:r w:rsidRPr="00194789">
              <w:rPr>
                <w:rFonts w:asciiTheme="minorHAnsi" w:hAnsiTheme="minorHAnsi" w:cstheme="minorHAnsi"/>
              </w:rPr>
              <w:t>the Productivity Hub.</w:t>
            </w:r>
          </w:p>
        </w:tc>
      </w:tr>
      <w:tr w:rsidR="00D872B4" w:rsidRPr="000C21B7" w14:paraId="2B3A08D7" w14:textId="77777777" w:rsidTr="003625E6">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1A13998" w14:textId="4F0A1FD7" w:rsidR="00D872B4" w:rsidRDefault="00D872B4" w:rsidP="00B60A9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121</w:t>
            </w:r>
          </w:p>
        </w:tc>
        <w:tc>
          <w:tcPr>
            <w:tcW w:w="5859" w:type="dxa"/>
            <w:tcBorders>
              <w:top w:val="single" w:sz="4" w:space="0" w:color="auto"/>
              <w:left w:val="nil"/>
              <w:bottom w:val="single" w:sz="4" w:space="0" w:color="auto"/>
              <w:right w:val="single" w:sz="4" w:space="0" w:color="auto"/>
            </w:tcBorders>
            <w:shd w:val="clear" w:color="auto" w:fill="auto"/>
          </w:tcPr>
          <w:p w14:paraId="012B70A9" w14:textId="7019822A" w:rsidR="00D872B4" w:rsidRPr="001350F5" w:rsidRDefault="00194789" w:rsidP="00B60A9E">
            <w:pPr>
              <w:spacing w:before="120" w:after="120" w:line="240" w:lineRule="auto"/>
              <w:rPr>
                <w:rFonts w:asciiTheme="minorHAnsi" w:hAnsiTheme="minorHAnsi" w:cstheme="minorHAnsi"/>
                <w:szCs w:val="20"/>
              </w:rPr>
            </w:pPr>
            <w:r>
              <w:rPr>
                <w:rFonts w:asciiTheme="minorHAnsi" w:hAnsiTheme="minorHAnsi" w:cstheme="minorHAnsi"/>
                <w:szCs w:val="20"/>
              </w:rPr>
              <w:t>What work has been done, or is planned, on assessment of regional productivity, by the Commission and/or the Hub, and how might this inform evaluation of changes in regional productivity as a result of the Provincial Growth Fund?</w:t>
            </w:r>
          </w:p>
        </w:tc>
        <w:tc>
          <w:tcPr>
            <w:tcW w:w="7650" w:type="dxa"/>
            <w:tcBorders>
              <w:top w:val="single" w:sz="4" w:space="0" w:color="auto"/>
              <w:left w:val="nil"/>
              <w:bottom w:val="single" w:sz="4" w:space="0" w:color="auto"/>
              <w:right w:val="single" w:sz="4" w:space="0" w:color="auto"/>
            </w:tcBorders>
            <w:shd w:val="clear" w:color="auto" w:fill="auto"/>
            <w:noWrap/>
          </w:tcPr>
          <w:p w14:paraId="2B805D8D" w14:textId="77777777" w:rsidR="00194789" w:rsidRPr="00194789" w:rsidRDefault="00194789" w:rsidP="00194789">
            <w:pPr>
              <w:spacing w:before="120" w:after="120" w:line="240" w:lineRule="auto"/>
              <w:rPr>
                <w:rFonts w:asciiTheme="minorHAnsi" w:hAnsiTheme="minorHAnsi" w:cstheme="minorHAnsi"/>
              </w:rPr>
            </w:pPr>
            <w:r w:rsidRPr="00194789">
              <w:rPr>
                <w:rFonts w:asciiTheme="minorHAnsi" w:hAnsiTheme="minorHAnsi" w:cstheme="minorHAnsi"/>
              </w:rPr>
              <w:t>Productivity Commission researchers are now completing a paper that looks at changing employment shares in New Zealand’s 30 largest towns and cities from 1976 to 2013. Work is also being undertaken on industry clusters in regions. These two projects will inform a future paper on questions related to regional industry structure, employment, and migration. The goal is to complete this work by December 2019.</w:t>
            </w:r>
          </w:p>
          <w:p w14:paraId="7A8DC135" w14:textId="3D62C79B" w:rsidR="00D872B4" w:rsidRPr="00194789" w:rsidRDefault="00194789" w:rsidP="00194789">
            <w:pPr>
              <w:spacing w:before="120" w:after="120" w:line="240" w:lineRule="auto"/>
              <w:rPr>
                <w:rFonts w:asciiTheme="minorHAnsi" w:hAnsiTheme="minorHAnsi" w:cstheme="minorHAnsi"/>
              </w:rPr>
            </w:pPr>
            <w:r w:rsidRPr="00194789">
              <w:rPr>
                <w:rFonts w:asciiTheme="minorHAnsi" w:hAnsiTheme="minorHAnsi" w:cstheme="minorHAnsi"/>
              </w:rPr>
              <w:lastRenderedPageBreak/>
              <w:t>Professor Philip McCann, who is an international expert in the analysis of regional productivity</w:t>
            </w:r>
            <w:r w:rsidR="00DF19FA">
              <w:rPr>
                <w:rFonts w:asciiTheme="minorHAnsi" w:hAnsiTheme="minorHAnsi" w:cstheme="minorHAnsi"/>
              </w:rPr>
              <w:t>, will be the keynote speaker at the Government Economics Conference on 6 December 2019</w:t>
            </w:r>
            <w:r w:rsidRPr="00194789">
              <w:rPr>
                <w:rFonts w:asciiTheme="minorHAnsi" w:hAnsiTheme="minorHAnsi" w:cstheme="minorHAnsi"/>
              </w:rPr>
              <w:t>. Professor McCann is based at the University of Sheffield and Chairs the UK Productivity Insights Network. He has previously been based at the University of Waikato and retains a strong interest in the New Zealand economy.</w:t>
            </w:r>
          </w:p>
        </w:tc>
      </w:tr>
      <w:tr w:rsidR="000C21B7" w:rsidRPr="001350F5" w14:paraId="49AB2025" w14:textId="77777777" w:rsidTr="00053B1B">
        <w:trPr>
          <w:trHeight w:val="428"/>
        </w:trPr>
        <w:tc>
          <w:tcPr>
            <w:tcW w:w="14058" w:type="dxa"/>
            <w:gridSpan w:val="3"/>
            <w:shd w:val="clear" w:color="auto" w:fill="auto"/>
            <w:vAlign w:val="center"/>
          </w:tcPr>
          <w:p w14:paraId="39995052" w14:textId="06BBCE83" w:rsidR="000C21B7" w:rsidRPr="00C42A94" w:rsidRDefault="00D872B4" w:rsidP="00C42A94">
            <w:pPr>
              <w:pStyle w:val="Heading1"/>
              <w:spacing w:before="360" w:after="120"/>
              <w:rPr>
                <w:rFonts w:asciiTheme="minorHAnsi" w:eastAsia="Times New Roman" w:hAnsiTheme="minorHAnsi" w:cs="Calibri"/>
                <w:b/>
                <w:caps/>
                <w:color w:val="000000"/>
                <w:sz w:val="24"/>
                <w:szCs w:val="24"/>
                <w:lang w:eastAsia="en-NZ"/>
              </w:rPr>
            </w:pPr>
            <w:bookmarkStart w:id="2" w:name="_Toc2151766"/>
            <w:r>
              <w:rPr>
                <w:rFonts w:asciiTheme="minorHAnsi" w:eastAsia="Times New Roman" w:hAnsiTheme="minorHAnsi" w:cs="Calibri"/>
                <w:b/>
                <w:caps/>
                <w:color w:val="000000"/>
                <w:sz w:val="24"/>
                <w:szCs w:val="24"/>
                <w:lang w:eastAsia="en-NZ"/>
              </w:rPr>
              <w:lastRenderedPageBreak/>
              <w:t>the commission’s evaluation programme</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w:t>
            </w:r>
            <w:r w:rsidR="00C42A94">
              <w:rPr>
                <w:rFonts w:asciiTheme="minorHAnsi" w:eastAsia="Times New Roman" w:hAnsiTheme="minorHAnsi" w:cs="Calibri"/>
                <w:b/>
                <w:caps/>
                <w:color w:val="000000"/>
                <w:sz w:val="24"/>
                <w:szCs w:val="24"/>
                <w:lang w:eastAsia="en-NZ"/>
              </w:rPr>
              <w:t xml:space="preserve"> 1</w:t>
            </w:r>
            <w:r>
              <w:rPr>
                <w:rFonts w:asciiTheme="minorHAnsi" w:eastAsia="Times New Roman" w:hAnsiTheme="minorHAnsi" w:cs="Calibri"/>
                <w:b/>
                <w:caps/>
                <w:color w:val="000000"/>
                <w:sz w:val="24"/>
                <w:szCs w:val="24"/>
                <w:lang w:eastAsia="en-NZ"/>
              </w:rPr>
              <w:t>22</w:t>
            </w:r>
            <w:r w:rsidR="00C42A94">
              <w:rPr>
                <w:rFonts w:asciiTheme="minorHAnsi" w:eastAsia="Times New Roman" w:hAnsiTheme="minorHAnsi" w:cs="Calibri"/>
                <w:b/>
                <w:caps/>
                <w:color w:val="000000"/>
                <w:sz w:val="24"/>
                <w:szCs w:val="24"/>
                <w:lang w:eastAsia="en-NZ"/>
              </w:rPr>
              <w:t>)</w:t>
            </w:r>
            <w:bookmarkEnd w:id="2"/>
          </w:p>
        </w:tc>
      </w:tr>
      <w:tr w:rsidR="00053B1B" w:rsidRPr="000C21B7" w14:paraId="6AD773D9" w14:textId="77777777" w:rsidTr="00053B1B">
        <w:trPr>
          <w:trHeight w:val="540"/>
        </w:trPr>
        <w:tc>
          <w:tcPr>
            <w:tcW w:w="14058" w:type="dxa"/>
            <w:gridSpan w:val="3"/>
            <w:tcBorders>
              <w:bottom w:val="single" w:sz="4" w:space="0" w:color="auto"/>
            </w:tcBorders>
            <w:shd w:val="clear" w:color="auto" w:fill="auto"/>
          </w:tcPr>
          <w:p w14:paraId="3F8BA220" w14:textId="24898F8E" w:rsidR="00053B1B" w:rsidRDefault="00053B1B"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Committee notes that the Commission has reviewed and made changes to its evaluation programme.</w:t>
            </w:r>
          </w:p>
        </w:tc>
      </w:tr>
      <w:tr w:rsidR="00497B95" w:rsidRPr="000C21B7" w14:paraId="2E998CDC" w14:textId="77777777" w:rsidTr="003625E6">
        <w:trPr>
          <w:trHeight w:val="711"/>
        </w:trPr>
        <w:tc>
          <w:tcPr>
            <w:tcW w:w="549" w:type="dxa"/>
            <w:tcBorders>
              <w:top w:val="single" w:sz="4" w:space="0" w:color="auto"/>
              <w:left w:val="single" w:sz="4" w:space="0" w:color="auto"/>
              <w:bottom w:val="single" w:sz="4" w:space="0" w:color="auto"/>
              <w:right w:val="single" w:sz="4" w:space="0" w:color="auto"/>
            </w:tcBorders>
            <w:shd w:val="clear" w:color="auto" w:fill="auto"/>
          </w:tcPr>
          <w:p w14:paraId="3CEBA757" w14:textId="6A17C881"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w:t>
            </w:r>
            <w:r w:rsidR="00D872B4">
              <w:rPr>
                <w:rFonts w:asciiTheme="minorHAnsi" w:eastAsia="Times New Roman" w:hAnsiTheme="minorHAnsi" w:cstheme="minorHAnsi"/>
                <w:color w:val="000000"/>
                <w:szCs w:val="20"/>
                <w:lang w:eastAsia="en-NZ"/>
              </w:rPr>
              <w:t>22</w:t>
            </w:r>
          </w:p>
        </w:tc>
        <w:tc>
          <w:tcPr>
            <w:tcW w:w="5859" w:type="dxa"/>
            <w:tcBorders>
              <w:top w:val="single" w:sz="4" w:space="0" w:color="auto"/>
              <w:left w:val="nil"/>
              <w:bottom w:val="single" w:sz="4" w:space="0" w:color="auto"/>
              <w:right w:val="single" w:sz="4" w:space="0" w:color="auto"/>
            </w:tcBorders>
            <w:shd w:val="clear" w:color="auto" w:fill="auto"/>
            <w:hideMark/>
          </w:tcPr>
          <w:p w14:paraId="377F8288" w14:textId="2189E97C" w:rsidR="00497B95" w:rsidRPr="001350F5" w:rsidRDefault="001B647A" w:rsidP="00F52FD4">
            <w:pPr>
              <w:widowControl w:val="0"/>
              <w:tabs>
                <w:tab w:val="left" w:pos="491"/>
              </w:tabs>
              <w:autoSpaceDE w:val="0"/>
              <w:autoSpaceDN w:val="0"/>
              <w:spacing w:before="120" w:after="120" w:line="240" w:lineRule="auto"/>
              <w:ind w:right="639"/>
              <w:rPr>
                <w:rFonts w:asciiTheme="minorHAnsi" w:hAnsiTheme="minorHAnsi" w:cstheme="minorHAnsi"/>
                <w:szCs w:val="20"/>
              </w:rPr>
            </w:pPr>
            <w:r>
              <w:rPr>
                <w:rFonts w:asciiTheme="minorHAnsi" w:hAnsiTheme="minorHAnsi" w:cstheme="minorHAnsi"/>
                <w:szCs w:val="20"/>
              </w:rPr>
              <w:t>What changes has the Commission made to its impact indicators, and how will these changes be used to improve its inquiry and research work?</w:t>
            </w:r>
          </w:p>
        </w:tc>
        <w:tc>
          <w:tcPr>
            <w:tcW w:w="7650" w:type="dxa"/>
            <w:tcBorders>
              <w:top w:val="single" w:sz="4" w:space="0" w:color="auto"/>
              <w:left w:val="nil"/>
              <w:bottom w:val="single" w:sz="4" w:space="0" w:color="auto"/>
              <w:right w:val="single" w:sz="4" w:space="0" w:color="auto"/>
            </w:tcBorders>
            <w:shd w:val="clear" w:color="auto" w:fill="auto"/>
            <w:noWrap/>
            <w:hideMark/>
          </w:tcPr>
          <w:p w14:paraId="31BF7D1D" w14:textId="3F2D64EA" w:rsidR="009A4496" w:rsidRPr="0051571D" w:rsidRDefault="00D913B3" w:rsidP="003252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Commission’s fundamental basis and approach for reporting performance has not changed, i.e. it is strongly evaluation-based. We believe this method best aligns with the nature of our work.</w:t>
            </w:r>
            <w:r w:rsidR="003252D4">
              <w:rPr>
                <w:rFonts w:asciiTheme="minorHAnsi" w:eastAsia="Times New Roman" w:hAnsiTheme="minorHAnsi" w:cstheme="minorHAnsi"/>
                <w:color w:val="000000"/>
                <w:szCs w:val="20"/>
                <w:lang w:eastAsia="en-NZ"/>
              </w:rPr>
              <w:t xml:space="preserve"> W</w:t>
            </w:r>
            <w:r>
              <w:rPr>
                <w:rFonts w:asciiTheme="minorHAnsi" w:eastAsia="Times New Roman" w:hAnsiTheme="minorHAnsi" w:cstheme="minorHAnsi"/>
                <w:color w:val="000000"/>
                <w:szCs w:val="20"/>
                <w:lang w:eastAsia="en-NZ"/>
              </w:rPr>
              <w:t>e</w:t>
            </w:r>
            <w:r w:rsidR="003252D4">
              <w:rPr>
                <w:rFonts w:asciiTheme="minorHAnsi" w:eastAsia="Times New Roman" w:hAnsiTheme="minorHAnsi" w:cstheme="minorHAnsi"/>
                <w:color w:val="000000"/>
                <w:szCs w:val="20"/>
                <w:lang w:eastAsia="en-NZ"/>
              </w:rPr>
              <w:t xml:space="preserve"> have</w:t>
            </w:r>
            <w:r>
              <w:rPr>
                <w:rFonts w:asciiTheme="minorHAnsi" w:eastAsia="Times New Roman" w:hAnsiTheme="minorHAnsi" w:cstheme="minorHAnsi"/>
                <w:color w:val="000000"/>
                <w:szCs w:val="20"/>
                <w:lang w:eastAsia="en-NZ"/>
              </w:rPr>
              <w:t xml:space="preserve"> refine</w:t>
            </w:r>
            <w:r w:rsidR="001A5B31">
              <w:rPr>
                <w:rFonts w:asciiTheme="minorHAnsi" w:eastAsia="Times New Roman" w:hAnsiTheme="minorHAnsi" w:cstheme="minorHAnsi"/>
                <w:color w:val="000000"/>
                <w:szCs w:val="20"/>
                <w:lang w:eastAsia="en-NZ"/>
              </w:rPr>
              <w:t>d</w:t>
            </w:r>
            <w:r>
              <w:rPr>
                <w:rFonts w:asciiTheme="minorHAnsi" w:eastAsia="Times New Roman" w:hAnsiTheme="minorHAnsi" w:cstheme="minorHAnsi"/>
                <w:color w:val="000000"/>
                <w:szCs w:val="20"/>
                <w:lang w:eastAsia="en-NZ"/>
              </w:rPr>
              <w:t xml:space="preserve"> </w:t>
            </w:r>
            <w:r w:rsidR="003252D4">
              <w:rPr>
                <w:rFonts w:asciiTheme="minorHAnsi" w:eastAsia="Times New Roman" w:hAnsiTheme="minorHAnsi" w:cstheme="minorHAnsi"/>
                <w:color w:val="000000"/>
                <w:szCs w:val="20"/>
                <w:lang w:eastAsia="en-NZ"/>
              </w:rPr>
              <w:t>impac</w:t>
            </w:r>
            <w:r>
              <w:rPr>
                <w:rFonts w:asciiTheme="minorHAnsi" w:eastAsia="Times New Roman" w:hAnsiTheme="minorHAnsi" w:cstheme="minorHAnsi"/>
                <w:color w:val="000000"/>
                <w:szCs w:val="20"/>
                <w:lang w:eastAsia="en-NZ"/>
              </w:rPr>
              <w:t xml:space="preserve">t indicators to ensure </w:t>
            </w:r>
            <w:r w:rsidR="003252D4">
              <w:rPr>
                <w:rFonts w:asciiTheme="minorHAnsi" w:eastAsia="Times New Roman" w:hAnsiTheme="minorHAnsi" w:cstheme="minorHAnsi"/>
                <w:color w:val="000000"/>
                <w:szCs w:val="20"/>
                <w:lang w:eastAsia="en-NZ"/>
              </w:rPr>
              <w:t>our performance measurem</w:t>
            </w:r>
            <w:r>
              <w:rPr>
                <w:rFonts w:asciiTheme="minorHAnsi" w:eastAsia="Times New Roman" w:hAnsiTheme="minorHAnsi" w:cstheme="minorHAnsi"/>
                <w:color w:val="000000"/>
                <w:szCs w:val="20"/>
                <w:lang w:eastAsia="en-NZ"/>
              </w:rPr>
              <w:t xml:space="preserve">ent </w:t>
            </w:r>
            <w:r w:rsidR="003252D4">
              <w:rPr>
                <w:rFonts w:asciiTheme="minorHAnsi" w:eastAsia="Times New Roman" w:hAnsiTheme="minorHAnsi" w:cstheme="minorHAnsi"/>
                <w:color w:val="000000"/>
                <w:szCs w:val="20"/>
                <w:lang w:eastAsia="en-NZ"/>
              </w:rPr>
              <w:t>focuses on highlighting how our</w:t>
            </w:r>
            <w:r>
              <w:rPr>
                <w:rFonts w:asciiTheme="minorHAnsi" w:eastAsia="Times New Roman" w:hAnsiTheme="minorHAnsi" w:cstheme="minorHAnsi"/>
                <w:color w:val="000000"/>
                <w:szCs w:val="20"/>
                <w:lang w:eastAsia="en-NZ"/>
              </w:rPr>
              <w:t xml:space="preserve"> </w:t>
            </w:r>
            <w:r w:rsidR="009A4496">
              <w:rPr>
                <w:rFonts w:asciiTheme="minorHAnsi" w:eastAsia="Times New Roman" w:hAnsiTheme="minorHAnsi" w:cstheme="minorHAnsi"/>
                <w:color w:val="000000"/>
                <w:szCs w:val="20"/>
                <w:lang w:eastAsia="en-NZ"/>
              </w:rPr>
              <w:t>work</w:t>
            </w:r>
            <w:r w:rsidR="003252D4">
              <w:rPr>
                <w:rFonts w:asciiTheme="minorHAnsi" w:eastAsia="Times New Roman" w:hAnsiTheme="minorHAnsi" w:cstheme="minorHAnsi"/>
                <w:color w:val="000000"/>
                <w:szCs w:val="20"/>
                <w:lang w:eastAsia="en-NZ"/>
              </w:rPr>
              <w:t xml:space="preserve"> can</w:t>
            </w:r>
            <w:r w:rsidR="001A5B31">
              <w:rPr>
                <w:rFonts w:asciiTheme="minorHAnsi" w:eastAsia="Times New Roman" w:hAnsiTheme="minorHAnsi" w:cstheme="minorHAnsi"/>
                <w:color w:val="000000"/>
                <w:szCs w:val="20"/>
                <w:lang w:eastAsia="en-NZ"/>
              </w:rPr>
              <w:t xml:space="preserve"> </w:t>
            </w:r>
            <w:r w:rsidR="009A4496">
              <w:rPr>
                <w:rFonts w:asciiTheme="minorHAnsi" w:eastAsia="Times New Roman" w:hAnsiTheme="minorHAnsi" w:cstheme="minorHAnsi"/>
                <w:color w:val="000000"/>
                <w:szCs w:val="20"/>
                <w:lang w:eastAsia="en-NZ"/>
              </w:rPr>
              <w:t>contribute</w:t>
            </w:r>
            <w:r>
              <w:rPr>
                <w:rFonts w:asciiTheme="minorHAnsi" w:eastAsia="Times New Roman" w:hAnsiTheme="minorHAnsi" w:cstheme="minorHAnsi"/>
                <w:color w:val="000000"/>
                <w:szCs w:val="20"/>
                <w:lang w:eastAsia="en-NZ"/>
              </w:rPr>
              <w:t xml:space="preserve"> to policy and behavioural changes as a precursor to having an impact or influence on lifting wellbeing </w:t>
            </w:r>
            <w:r w:rsidR="001A2719">
              <w:rPr>
                <w:rFonts w:asciiTheme="minorHAnsi" w:eastAsia="Times New Roman" w:hAnsiTheme="minorHAnsi" w:cstheme="minorHAnsi"/>
                <w:color w:val="000000"/>
                <w:szCs w:val="20"/>
                <w:lang w:eastAsia="en-NZ"/>
              </w:rPr>
              <w:t xml:space="preserve">and </w:t>
            </w:r>
            <w:r w:rsidR="001A5B31">
              <w:rPr>
                <w:rFonts w:asciiTheme="minorHAnsi" w:eastAsia="Times New Roman" w:hAnsiTheme="minorHAnsi" w:cstheme="minorHAnsi"/>
                <w:color w:val="000000"/>
                <w:szCs w:val="20"/>
                <w:lang w:eastAsia="en-NZ"/>
              </w:rPr>
              <w:t xml:space="preserve">productivity. This refinement also looked at how we could better discern and describe </w:t>
            </w:r>
            <w:r>
              <w:rPr>
                <w:rFonts w:asciiTheme="minorHAnsi" w:eastAsia="Times New Roman" w:hAnsiTheme="minorHAnsi" w:cstheme="minorHAnsi"/>
                <w:color w:val="000000"/>
                <w:szCs w:val="20"/>
                <w:lang w:eastAsia="en-NZ"/>
              </w:rPr>
              <w:t>evidence of impact in a range of other indicators such as the level of discussion and debate around our work, w</w:t>
            </w:r>
            <w:r w:rsidR="00ED5D6D">
              <w:rPr>
                <w:rFonts w:asciiTheme="minorHAnsi" w:eastAsia="Times New Roman" w:hAnsiTheme="minorHAnsi" w:cstheme="minorHAnsi"/>
                <w:color w:val="000000"/>
                <w:szCs w:val="20"/>
                <w:lang w:eastAsia="en-NZ"/>
              </w:rPr>
              <w:t>he</w:t>
            </w:r>
            <w:r>
              <w:rPr>
                <w:rFonts w:asciiTheme="minorHAnsi" w:eastAsia="Times New Roman" w:hAnsiTheme="minorHAnsi" w:cstheme="minorHAnsi"/>
                <w:color w:val="000000"/>
                <w:szCs w:val="20"/>
                <w:lang w:eastAsia="en-NZ"/>
              </w:rPr>
              <w:t>ther and how key influen</w:t>
            </w:r>
            <w:r w:rsidR="00ED5D6D">
              <w:rPr>
                <w:rFonts w:asciiTheme="minorHAnsi" w:eastAsia="Times New Roman" w:hAnsiTheme="minorHAnsi" w:cstheme="minorHAnsi"/>
                <w:color w:val="000000"/>
                <w:szCs w:val="20"/>
                <w:lang w:eastAsia="en-NZ"/>
              </w:rPr>
              <w:t>c</w:t>
            </w:r>
            <w:r>
              <w:rPr>
                <w:rFonts w:asciiTheme="minorHAnsi" w:eastAsia="Times New Roman" w:hAnsiTheme="minorHAnsi" w:cstheme="minorHAnsi"/>
                <w:color w:val="000000"/>
                <w:szCs w:val="20"/>
                <w:lang w:eastAsia="en-NZ"/>
              </w:rPr>
              <w:t xml:space="preserve">ers are responding to our work and </w:t>
            </w:r>
            <w:r w:rsidR="00ED5D6D">
              <w:rPr>
                <w:rFonts w:asciiTheme="minorHAnsi" w:eastAsia="Times New Roman" w:hAnsiTheme="minorHAnsi" w:cstheme="minorHAnsi"/>
                <w:color w:val="000000"/>
                <w:szCs w:val="20"/>
                <w:lang w:eastAsia="en-NZ"/>
              </w:rPr>
              <w:t xml:space="preserve">engaging </w:t>
            </w:r>
            <w:r>
              <w:rPr>
                <w:rFonts w:asciiTheme="minorHAnsi" w:eastAsia="Times New Roman" w:hAnsiTheme="minorHAnsi" w:cstheme="minorHAnsi"/>
                <w:color w:val="000000"/>
                <w:szCs w:val="20"/>
                <w:lang w:eastAsia="en-NZ"/>
              </w:rPr>
              <w:t xml:space="preserve">us in discussion; and, whether our work is widely used by people who are providing commentary or </w:t>
            </w:r>
            <w:r w:rsidR="00ED5D6D">
              <w:rPr>
                <w:rFonts w:asciiTheme="minorHAnsi" w:eastAsia="Times New Roman" w:hAnsiTheme="minorHAnsi" w:cstheme="minorHAnsi"/>
                <w:color w:val="000000"/>
                <w:szCs w:val="20"/>
                <w:lang w:eastAsia="en-NZ"/>
              </w:rPr>
              <w:t>input</w:t>
            </w:r>
            <w:r>
              <w:rPr>
                <w:rFonts w:asciiTheme="minorHAnsi" w:eastAsia="Times New Roman" w:hAnsiTheme="minorHAnsi" w:cstheme="minorHAnsi"/>
                <w:color w:val="000000"/>
                <w:szCs w:val="20"/>
                <w:lang w:eastAsia="en-NZ"/>
              </w:rPr>
              <w:t xml:space="preserve"> to p</w:t>
            </w:r>
            <w:r w:rsidR="00ED5D6D">
              <w:rPr>
                <w:rFonts w:asciiTheme="minorHAnsi" w:eastAsia="Times New Roman" w:hAnsiTheme="minorHAnsi" w:cstheme="minorHAnsi"/>
                <w:color w:val="000000"/>
                <w:szCs w:val="20"/>
                <w:lang w:eastAsia="en-NZ"/>
              </w:rPr>
              <w:t>olicy discussions.</w:t>
            </w:r>
          </w:p>
        </w:tc>
      </w:tr>
      <w:tr w:rsidR="000C21B7" w:rsidRPr="00C42A94" w14:paraId="2A043379" w14:textId="77777777" w:rsidTr="00053B1B">
        <w:trPr>
          <w:trHeight w:val="660"/>
        </w:trPr>
        <w:tc>
          <w:tcPr>
            <w:tcW w:w="14058" w:type="dxa"/>
            <w:gridSpan w:val="3"/>
            <w:shd w:val="clear" w:color="auto" w:fill="auto"/>
            <w:vAlign w:val="center"/>
          </w:tcPr>
          <w:p w14:paraId="1256E10C" w14:textId="746C389D" w:rsidR="000C21B7" w:rsidRPr="00C42A94" w:rsidRDefault="00D872B4" w:rsidP="00C42A94">
            <w:pPr>
              <w:pStyle w:val="Heading1"/>
              <w:spacing w:before="360" w:after="120"/>
              <w:rPr>
                <w:rFonts w:asciiTheme="minorHAnsi" w:eastAsia="Times New Roman" w:hAnsiTheme="minorHAnsi" w:cs="Calibri"/>
                <w:b/>
                <w:caps/>
                <w:color w:val="000000"/>
                <w:sz w:val="24"/>
                <w:szCs w:val="24"/>
                <w:lang w:eastAsia="en-NZ"/>
              </w:rPr>
            </w:pPr>
            <w:bookmarkStart w:id="3" w:name="_Toc2151767"/>
            <w:r>
              <w:rPr>
                <w:rFonts w:asciiTheme="minorHAnsi" w:eastAsia="Times New Roman" w:hAnsiTheme="minorHAnsi" w:cs="Calibri"/>
                <w:b/>
                <w:caps/>
                <w:color w:val="000000"/>
                <w:sz w:val="24"/>
                <w:szCs w:val="24"/>
                <w:lang w:eastAsia="en-NZ"/>
              </w:rPr>
              <w:t>financial performance and funding discussions</w:t>
            </w:r>
            <w:r w:rsidR="00C42A94">
              <w:rPr>
                <w:rFonts w:asciiTheme="minorHAnsi" w:eastAsia="Times New Roman" w:hAnsiTheme="minorHAnsi" w:cs="Calibri"/>
                <w:b/>
                <w:caps/>
                <w:color w:val="000000"/>
                <w:sz w:val="24"/>
                <w:szCs w:val="24"/>
                <w:lang w:eastAsia="en-NZ"/>
              </w:rPr>
              <w:t xml:space="preserve"> (</w:t>
            </w:r>
            <w:r w:rsidR="00C42A94">
              <w:rPr>
                <w:rFonts w:asciiTheme="minorHAnsi" w:eastAsia="Times New Roman" w:hAnsiTheme="minorHAnsi" w:cs="Calibri"/>
                <w:b/>
                <w:color w:val="000000"/>
                <w:sz w:val="24"/>
                <w:szCs w:val="24"/>
                <w:lang w:eastAsia="en-NZ"/>
              </w:rPr>
              <w:t>Qn</w:t>
            </w:r>
            <w:r>
              <w:rPr>
                <w:rFonts w:asciiTheme="minorHAnsi" w:eastAsia="Times New Roman" w:hAnsiTheme="minorHAnsi" w:cs="Calibri"/>
                <w:b/>
                <w:color w:val="000000"/>
                <w:sz w:val="24"/>
                <w:szCs w:val="24"/>
                <w:lang w:eastAsia="en-NZ"/>
              </w:rPr>
              <w:t>s</w:t>
            </w:r>
            <w:r w:rsidR="00C42A94">
              <w:rPr>
                <w:rFonts w:asciiTheme="minorHAnsi" w:eastAsia="Times New Roman" w:hAnsiTheme="minorHAnsi" w:cs="Calibri"/>
                <w:b/>
                <w:caps/>
                <w:color w:val="000000"/>
                <w:sz w:val="24"/>
                <w:szCs w:val="24"/>
                <w:lang w:eastAsia="en-NZ"/>
              </w:rPr>
              <w:t xml:space="preserve"> </w:t>
            </w:r>
            <w:r>
              <w:rPr>
                <w:rFonts w:asciiTheme="minorHAnsi" w:eastAsia="Times New Roman" w:hAnsiTheme="minorHAnsi" w:cs="Calibri"/>
                <w:b/>
                <w:caps/>
                <w:color w:val="000000"/>
                <w:sz w:val="24"/>
                <w:szCs w:val="24"/>
                <w:lang w:eastAsia="en-NZ"/>
              </w:rPr>
              <w:t>123-124</w:t>
            </w:r>
            <w:r w:rsidR="00C42A94">
              <w:rPr>
                <w:rFonts w:asciiTheme="minorHAnsi" w:eastAsia="Times New Roman" w:hAnsiTheme="minorHAnsi" w:cs="Calibri"/>
                <w:b/>
                <w:caps/>
                <w:color w:val="000000"/>
                <w:sz w:val="24"/>
                <w:szCs w:val="24"/>
                <w:lang w:eastAsia="en-NZ"/>
              </w:rPr>
              <w:t>)</w:t>
            </w:r>
            <w:bookmarkEnd w:id="3"/>
          </w:p>
        </w:tc>
      </w:tr>
      <w:tr w:rsidR="001B647A" w:rsidRPr="001350F5" w14:paraId="53380980" w14:textId="77777777" w:rsidTr="00053B1B">
        <w:trPr>
          <w:trHeight w:val="660"/>
        </w:trPr>
        <w:tc>
          <w:tcPr>
            <w:tcW w:w="14058" w:type="dxa"/>
            <w:gridSpan w:val="3"/>
            <w:tcBorders>
              <w:bottom w:val="single" w:sz="4" w:space="0" w:color="auto"/>
            </w:tcBorders>
            <w:shd w:val="clear" w:color="auto" w:fill="auto"/>
          </w:tcPr>
          <w:p w14:paraId="1052CABA" w14:textId="1A7C88AB" w:rsidR="001B647A" w:rsidRDefault="001B647A"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Committee notes that the Commission has reported a deficit for 2017/18, due in large part to the high complexity of one its recent inquiries. We also note that the Commission is discussing funding levels and desired outputs with the Government</w:t>
            </w:r>
          </w:p>
        </w:tc>
      </w:tr>
      <w:tr w:rsidR="0005330B" w:rsidRPr="001350F5" w14:paraId="7AF40C54" w14:textId="77777777" w:rsidTr="001A5B31">
        <w:trPr>
          <w:trHeight w:val="416"/>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24A15B9" w14:textId="7214873C"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w:t>
            </w:r>
            <w:r w:rsidR="00D872B4">
              <w:rPr>
                <w:rFonts w:asciiTheme="minorHAnsi" w:eastAsia="Times New Roman" w:hAnsiTheme="minorHAnsi" w:cstheme="minorHAnsi"/>
                <w:color w:val="000000"/>
                <w:szCs w:val="20"/>
                <w:lang w:eastAsia="en-NZ"/>
              </w:rPr>
              <w:t>23</w:t>
            </w:r>
          </w:p>
        </w:tc>
        <w:tc>
          <w:tcPr>
            <w:tcW w:w="5859" w:type="dxa"/>
            <w:tcBorders>
              <w:top w:val="single" w:sz="4" w:space="0" w:color="auto"/>
              <w:left w:val="nil"/>
              <w:bottom w:val="single" w:sz="4" w:space="0" w:color="auto"/>
              <w:right w:val="single" w:sz="4" w:space="0" w:color="auto"/>
            </w:tcBorders>
            <w:shd w:val="clear" w:color="auto" w:fill="auto"/>
            <w:hideMark/>
          </w:tcPr>
          <w:p w14:paraId="0F302104" w14:textId="30122B3B" w:rsidR="0005330B" w:rsidRPr="001350F5" w:rsidRDefault="001B647A" w:rsidP="001A5B31">
            <w:pPr>
              <w:widowControl w:val="0"/>
              <w:tabs>
                <w:tab w:val="left" w:pos="491"/>
              </w:tabs>
              <w:autoSpaceDE w:val="0"/>
              <w:autoSpaceDN w:val="0"/>
              <w:spacing w:before="120" w:after="120" w:line="240" w:lineRule="auto"/>
              <w:ind w:right="369"/>
              <w:rPr>
                <w:rFonts w:asciiTheme="minorHAnsi" w:hAnsiTheme="minorHAnsi" w:cstheme="minorHAnsi"/>
                <w:szCs w:val="20"/>
              </w:rPr>
            </w:pPr>
            <w:r>
              <w:rPr>
                <w:rFonts w:asciiTheme="minorHAnsi" w:hAnsiTheme="minorHAnsi" w:cstheme="minorHAnsi"/>
                <w:szCs w:val="20"/>
              </w:rPr>
              <w:t>Was the greater complexity of the Transitioning to a low-emission economy inquiry an outlier, or does the Commission expect its inquiries to be of a similarly high-level of complexity in the future</w:t>
            </w:r>
            <w:r w:rsidR="001350F5" w:rsidRPr="001350F5">
              <w:rPr>
                <w:rFonts w:asciiTheme="minorHAnsi" w:hAnsiTheme="minorHAnsi" w:cstheme="minorHAnsi"/>
                <w:szCs w:val="20"/>
              </w:rPr>
              <w:t>?</w:t>
            </w:r>
          </w:p>
        </w:tc>
        <w:tc>
          <w:tcPr>
            <w:tcW w:w="7650" w:type="dxa"/>
            <w:tcBorders>
              <w:top w:val="single" w:sz="4" w:space="0" w:color="auto"/>
              <w:left w:val="nil"/>
              <w:bottom w:val="single" w:sz="4" w:space="0" w:color="auto"/>
              <w:right w:val="single" w:sz="4" w:space="0" w:color="auto"/>
            </w:tcBorders>
            <w:shd w:val="clear" w:color="auto" w:fill="auto"/>
            <w:noWrap/>
            <w:hideMark/>
          </w:tcPr>
          <w:p w14:paraId="446F62E1" w14:textId="11904992" w:rsidR="0005330B" w:rsidRPr="00D85F76" w:rsidRDefault="008C26E2"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In the case of the </w:t>
            </w:r>
            <w:r>
              <w:rPr>
                <w:rFonts w:asciiTheme="minorHAnsi" w:eastAsia="Times New Roman" w:hAnsiTheme="minorHAnsi" w:cstheme="minorHAnsi"/>
                <w:i/>
                <w:color w:val="000000"/>
                <w:szCs w:val="20"/>
                <w:lang w:eastAsia="en-NZ"/>
              </w:rPr>
              <w:t xml:space="preserve">Low-emission’s economy </w:t>
            </w:r>
            <w:r>
              <w:rPr>
                <w:rFonts w:asciiTheme="minorHAnsi" w:eastAsia="Times New Roman" w:hAnsiTheme="minorHAnsi" w:cstheme="minorHAnsi"/>
                <w:color w:val="000000"/>
                <w:szCs w:val="20"/>
                <w:lang w:eastAsia="en-NZ"/>
              </w:rPr>
              <w:t xml:space="preserve">inquiry there was a </w:t>
            </w:r>
            <w:r w:rsidR="00C01D54">
              <w:rPr>
                <w:rFonts w:asciiTheme="minorHAnsi" w:eastAsia="Times New Roman" w:hAnsiTheme="minorHAnsi" w:cstheme="minorHAnsi"/>
                <w:color w:val="000000"/>
                <w:szCs w:val="20"/>
                <w:lang w:eastAsia="en-NZ"/>
              </w:rPr>
              <w:t xml:space="preserve">need for </w:t>
            </w:r>
            <w:r>
              <w:rPr>
                <w:rFonts w:asciiTheme="minorHAnsi" w:eastAsia="Times New Roman" w:hAnsiTheme="minorHAnsi" w:cstheme="minorHAnsi"/>
                <w:color w:val="000000"/>
                <w:szCs w:val="20"/>
                <w:lang w:eastAsia="en-NZ"/>
              </w:rPr>
              <w:t>ski</w:t>
            </w:r>
            <w:r w:rsidR="00C01D54">
              <w:rPr>
                <w:rFonts w:asciiTheme="minorHAnsi" w:eastAsia="Times New Roman" w:hAnsiTheme="minorHAnsi" w:cstheme="minorHAnsi"/>
                <w:color w:val="000000"/>
                <w:szCs w:val="20"/>
                <w:lang w:eastAsia="en-NZ"/>
              </w:rPr>
              <w:t>lls</w:t>
            </w:r>
            <w:r>
              <w:rPr>
                <w:rFonts w:asciiTheme="minorHAnsi" w:eastAsia="Times New Roman" w:hAnsiTheme="minorHAnsi" w:cstheme="minorHAnsi"/>
                <w:color w:val="000000"/>
                <w:szCs w:val="20"/>
                <w:lang w:eastAsia="en-NZ"/>
              </w:rPr>
              <w:t>ets and knowledge</w:t>
            </w:r>
            <w:r w:rsidR="00C01D54">
              <w:rPr>
                <w:rFonts w:asciiTheme="minorHAnsi" w:eastAsia="Times New Roman" w:hAnsiTheme="minorHAnsi" w:cstheme="minorHAnsi"/>
                <w:color w:val="000000"/>
                <w:szCs w:val="20"/>
                <w:lang w:eastAsia="en-NZ"/>
              </w:rPr>
              <w:t xml:space="preserve"> in such areas as financial and economic modelling </w:t>
            </w:r>
            <w:r>
              <w:rPr>
                <w:rFonts w:asciiTheme="minorHAnsi" w:eastAsia="Times New Roman" w:hAnsiTheme="minorHAnsi" w:cstheme="minorHAnsi"/>
                <w:color w:val="000000"/>
                <w:szCs w:val="20"/>
                <w:lang w:eastAsia="en-NZ"/>
              </w:rPr>
              <w:t xml:space="preserve">and this </w:t>
            </w:r>
            <w:r w:rsidR="00C01D54">
              <w:rPr>
                <w:rFonts w:asciiTheme="minorHAnsi" w:eastAsia="Times New Roman" w:hAnsiTheme="minorHAnsi" w:cstheme="minorHAnsi"/>
                <w:color w:val="000000"/>
                <w:szCs w:val="20"/>
                <w:lang w:eastAsia="en-NZ"/>
              </w:rPr>
              <w:t xml:space="preserve">did require the Commission to </w:t>
            </w:r>
            <w:r>
              <w:rPr>
                <w:rFonts w:asciiTheme="minorHAnsi" w:eastAsia="Times New Roman" w:hAnsiTheme="minorHAnsi" w:cstheme="minorHAnsi"/>
                <w:color w:val="000000"/>
                <w:szCs w:val="20"/>
                <w:lang w:eastAsia="en-NZ"/>
              </w:rPr>
              <w:t xml:space="preserve">identify and </w:t>
            </w:r>
            <w:r w:rsidR="00C01D54">
              <w:rPr>
                <w:rFonts w:asciiTheme="minorHAnsi" w:eastAsia="Times New Roman" w:hAnsiTheme="minorHAnsi" w:cstheme="minorHAnsi"/>
                <w:color w:val="000000"/>
                <w:szCs w:val="20"/>
                <w:lang w:eastAsia="en-NZ"/>
              </w:rPr>
              <w:t>procure</w:t>
            </w:r>
            <w:r>
              <w:rPr>
                <w:rFonts w:asciiTheme="minorHAnsi" w:eastAsia="Times New Roman" w:hAnsiTheme="minorHAnsi" w:cstheme="minorHAnsi"/>
                <w:color w:val="000000"/>
                <w:szCs w:val="20"/>
                <w:lang w:eastAsia="en-NZ"/>
              </w:rPr>
              <w:t xml:space="preserve"> this expertise</w:t>
            </w:r>
            <w:r w:rsidR="003252D4">
              <w:rPr>
                <w:rFonts w:asciiTheme="minorHAnsi" w:eastAsia="Times New Roman" w:hAnsiTheme="minorHAnsi" w:cstheme="minorHAnsi"/>
                <w:color w:val="000000"/>
                <w:szCs w:val="20"/>
                <w:lang w:eastAsia="en-NZ"/>
              </w:rPr>
              <w:t>, at market rates,</w:t>
            </w:r>
            <w:r>
              <w:rPr>
                <w:rFonts w:asciiTheme="minorHAnsi" w:eastAsia="Times New Roman" w:hAnsiTheme="minorHAnsi" w:cstheme="minorHAnsi"/>
                <w:color w:val="000000"/>
                <w:szCs w:val="20"/>
                <w:lang w:eastAsia="en-NZ"/>
              </w:rPr>
              <w:t xml:space="preserve"> from specialist external sources. The Commission generally tends to receive complex and challenging mandates from </w:t>
            </w:r>
            <w:r w:rsidR="00D9508C">
              <w:rPr>
                <w:rFonts w:asciiTheme="minorHAnsi" w:eastAsia="Times New Roman" w:hAnsiTheme="minorHAnsi" w:cstheme="minorHAnsi"/>
                <w:color w:val="000000"/>
                <w:szCs w:val="20"/>
                <w:lang w:eastAsia="en-NZ"/>
              </w:rPr>
              <w:t>Government</w:t>
            </w:r>
            <w:r>
              <w:rPr>
                <w:rFonts w:asciiTheme="minorHAnsi" w:eastAsia="Times New Roman" w:hAnsiTheme="minorHAnsi" w:cstheme="minorHAnsi"/>
                <w:color w:val="000000"/>
                <w:szCs w:val="20"/>
                <w:lang w:eastAsia="en-NZ"/>
              </w:rPr>
              <w:t>. We don’t, however, know what areas</w:t>
            </w:r>
            <w:r w:rsidR="00D9508C">
              <w:rPr>
                <w:rFonts w:asciiTheme="minorHAnsi" w:eastAsia="Times New Roman" w:hAnsiTheme="minorHAnsi" w:cstheme="minorHAnsi"/>
                <w:color w:val="000000"/>
                <w:szCs w:val="20"/>
                <w:lang w:eastAsia="en-NZ"/>
              </w:rPr>
              <w:t xml:space="preserve"> </w:t>
            </w:r>
            <w:r>
              <w:rPr>
                <w:rFonts w:asciiTheme="minorHAnsi" w:eastAsia="Times New Roman" w:hAnsiTheme="minorHAnsi" w:cstheme="minorHAnsi"/>
                <w:color w:val="000000"/>
                <w:szCs w:val="20"/>
                <w:lang w:eastAsia="en-NZ"/>
              </w:rPr>
              <w:t>future topics might be focused on and</w:t>
            </w:r>
            <w:r w:rsidR="00D9508C">
              <w:rPr>
                <w:rFonts w:asciiTheme="minorHAnsi" w:eastAsia="Times New Roman" w:hAnsiTheme="minorHAnsi" w:cstheme="minorHAnsi"/>
                <w:color w:val="000000"/>
                <w:szCs w:val="20"/>
                <w:lang w:eastAsia="en-NZ"/>
              </w:rPr>
              <w:t xml:space="preserve"> as such it </w:t>
            </w:r>
            <w:r>
              <w:rPr>
                <w:rFonts w:asciiTheme="minorHAnsi" w:eastAsia="Times New Roman" w:hAnsiTheme="minorHAnsi" w:cstheme="minorHAnsi"/>
                <w:color w:val="000000"/>
                <w:szCs w:val="20"/>
                <w:lang w:eastAsia="en-NZ"/>
              </w:rPr>
              <w:t>is difficult to assess</w:t>
            </w:r>
            <w:r w:rsidR="00D9508C">
              <w:rPr>
                <w:rFonts w:asciiTheme="minorHAnsi" w:eastAsia="Times New Roman" w:hAnsiTheme="minorHAnsi" w:cstheme="minorHAnsi"/>
                <w:color w:val="000000"/>
                <w:szCs w:val="20"/>
                <w:lang w:eastAsia="en-NZ"/>
              </w:rPr>
              <w:t xml:space="preserve"> whether</w:t>
            </w:r>
            <w:r>
              <w:rPr>
                <w:rFonts w:asciiTheme="minorHAnsi" w:eastAsia="Times New Roman" w:hAnsiTheme="minorHAnsi" w:cstheme="minorHAnsi"/>
                <w:color w:val="000000"/>
                <w:szCs w:val="20"/>
                <w:lang w:eastAsia="en-NZ"/>
              </w:rPr>
              <w:t xml:space="preserve"> the </w:t>
            </w:r>
            <w:r w:rsidR="002D2A3E">
              <w:rPr>
                <w:rFonts w:asciiTheme="minorHAnsi" w:eastAsia="Times New Roman" w:hAnsiTheme="minorHAnsi" w:cstheme="minorHAnsi"/>
                <w:i/>
                <w:color w:val="000000"/>
                <w:szCs w:val="20"/>
                <w:lang w:eastAsia="en-NZ"/>
              </w:rPr>
              <w:t>L</w:t>
            </w:r>
            <w:r>
              <w:rPr>
                <w:rFonts w:asciiTheme="minorHAnsi" w:eastAsia="Times New Roman" w:hAnsiTheme="minorHAnsi" w:cstheme="minorHAnsi"/>
                <w:i/>
                <w:color w:val="000000"/>
                <w:szCs w:val="20"/>
                <w:lang w:eastAsia="en-NZ"/>
              </w:rPr>
              <w:t xml:space="preserve">ow-emission’s economy </w:t>
            </w:r>
            <w:r>
              <w:rPr>
                <w:rFonts w:asciiTheme="minorHAnsi" w:eastAsia="Times New Roman" w:hAnsiTheme="minorHAnsi" w:cstheme="minorHAnsi"/>
                <w:color w:val="000000"/>
                <w:szCs w:val="20"/>
                <w:lang w:eastAsia="en-NZ"/>
              </w:rPr>
              <w:t xml:space="preserve">inquiry </w:t>
            </w:r>
            <w:r w:rsidR="003252D4">
              <w:rPr>
                <w:rFonts w:asciiTheme="minorHAnsi" w:eastAsia="Times New Roman" w:hAnsiTheme="minorHAnsi" w:cstheme="minorHAnsi"/>
                <w:color w:val="000000"/>
                <w:szCs w:val="20"/>
                <w:lang w:eastAsia="en-NZ"/>
              </w:rPr>
              <w:t>i</w:t>
            </w:r>
            <w:r w:rsidR="00D9508C">
              <w:rPr>
                <w:rFonts w:asciiTheme="minorHAnsi" w:eastAsia="Times New Roman" w:hAnsiTheme="minorHAnsi" w:cstheme="minorHAnsi"/>
                <w:color w:val="000000"/>
                <w:szCs w:val="20"/>
                <w:lang w:eastAsia="en-NZ"/>
              </w:rPr>
              <w:t>s an</w:t>
            </w:r>
            <w:r>
              <w:rPr>
                <w:rFonts w:asciiTheme="minorHAnsi" w:eastAsia="Times New Roman" w:hAnsiTheme="minorHAnsi" w:cstheme="minorHAnsi"/>
                <w:color w:val="000000"/>
                <w:szCs w:val="20"/>
                <w:lang w:eastAsia="en-NZ"/>
              </w:rPr>
              <w:t xml:space="preserve"> outlier</w:t>
            </w:r>
            <w:r w:rsidR="003252D4">
              <w:rPr>
                <w:rFonts w:asciiTheme="minorHAnsi" w:eastAsia="Times New Roman" w:hAnsiTheme="minorHAnsi" w:cstheme="minorHAnsi"/>
                <w:color w:val="000000"/>
                <w:szCs w:val="20"/>
                <w:lang w:eastAsia="en-NZ"/>
              </w:rPr>
              <w:t xml:space="preserve"> in regard to complexity </w:t>
            </w:r>
            <w:r w:rsidR="00D9508C">
              <w:rPr>
                <w:rFonts w:asciiTheme="minorHAnsi" w:eastAsia="Times New Roman" w:hAnsiTheme="minorHAnsi" w:cstheme="minorHAnsi"/>
                <w:color w:val="000000"/>
                <w:szCs w:val="20"/>
                <w:lang w:eastAsia="en-NZ"/>
              </w:rPr>
              <w:t xml:space="preserve">or not. </w:t>
            </w:r>
          </w:p>
        </w:tc>
      </w:tr>
      <w:tr w:rsidR="00D872B4" w:rsidRPr="001350F5" w14:paraId="7733994E" w14:textId="77777777" w:rsidTr="00D9508C">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070699C2" w14:textId="50DC0D58" w:rsidR="00D872B4" w:rsidRPr="001350F5" w:rsidRDefault="00D872B4"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124</w:t>
            </w:r>
          </w:p>
        </w:tc>
        <w:tc>
          <w:tcPr>
            <w:tcW w:w="5859" w:type="dxa"/>
            <w:tcBorders>
              <w:top w:val="single" w:sz="4" w:space="0" w:color="auto"/>
              <w:left w:val="nil"/>
              <w:bottom w:val="single" w:sz="4" w:space="0" w:color="auto"/>
              <w:right w:val="single" w:sz="4" w:space="0" w:color="auto"/>
            </w:tcBorders>
            <w:shd w:val="clear" w:color="auto" w:fill="auto"/>
          </w:tcPr>
          <w:p w14:paraId="234554E3" w14:textId="07D89EA4" w:rsidR="00D872B4" w:rsidRPr="001350F5" w:rsidRDefault="001B647A" w:rsidP="00D9508C">
            <w:pPr>
              <w:widowControl w:val="0"/>
              <w:tabs>
                <w:tab w:val="left" w:pos="491"/>
              </w:tabs>
              <w:autoSpaceDE w:val="0"/>
              <w:autoSpaceDN w:val="0"/>
              <w:spacing w:before="120" w:after="120" w:line="240" w:lineRule="auto"/>
              <w:ind w:right="369"/>
              <w:rPr>
                <w:rFonts w:asciiTheme="minorHAnsi" w:hAnsiTheme="minorHAnsi" w:cstheme="minorHAnsi"/>
                <w:szCs w:val="20"/>
              </w:rPr>
            </w:pPr>
            <w:r>
              <w:rPr>
                <w:rFonts w:asciiTheme="minorHAnsi" w:hAnsiTheme="minorHAnsi" w:cstheme="minorHAnsi"/>
                <w:szCs w:val="20"/>
              </w:rPr>
              <w:t>What changes to the Commission’s outputs are being considered in the discussions with Government of its funding levels and desired outputs, and what impact are these expected to have on the way the Commission carries out its role?</w:t>
            </w:r>
          </w:p>
        </w:tc>
        <w:tc>
          <w:tcPr>
            <w:tcW w:w="7650" w:type="dxa"/>
            <w:tcBorders>
              <w:top w:val="single" w:sz="4" w:space="0" w:color="auto"/>
              <w:left w:val="nil"/>
              <w:bottom w:val="single" w:sz="4" w:space="0" w:color="auto"/>
              <w:right w:val="single" w:sz="4" w:space="0" w:color="auto"/>
            </w:tcBorders>
            <w:shd w:val="clear" w:color="auto" w:fill="auto"/>
            <w:noWrap/>
          </w:tcPr>
          <w:p w14:paraId="35D63ECA" w14:textId="36BE05FD" w:rsidR="00D872B4" w:rsidRPr="001350F5" w:rsidRDefault="003252D4"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C</w:t>
            </w:r>
            <w:r w:rsidR="00D9508C">
              <w:rPr>
                <w:rFonts w:asciiTheme="minorHAnsi" w:eastAsia="Times New Roman" w:hAnsiTheme="minorHAnsi" w:cstheme="minorHAnsi"/>
                <w:color w:val="000000"/>
                <w:szCs w:val="20"/>
                <w:lang w:eastAsia="en-NZ"/>
              </w:rPr>
              <w:t>hanges to</w:t>
            </w:r>
            <w:r>
              <w:rPr>
                <w:rFonts w:asciiTheme="minorHAnsi" w:eastAsia="Times New Roman" w:hAnsiTheme="minorHAnsi" w:cstheme="minorHAnsi"/>
                <w:color w:val="000000"/>
                <w:szCs w:val="20"/>
                <w:lang w:eastAsia="en-NZ"/>
              </w:rPr>
              <w:t xml:space="preserve"> </w:t>
            </w:r>
            <w:r w:rsidR="00D9508C">
              <w:rPr>
                <w:rFonts w:asciiTheme="minorHAnsi" w:eastAsia="Times New Roman" w:hAnsiTheme="minorHAnsi" w:cstheme="minorHAnsi"/>
                <w:color w:val="000000"/>
                <w:szCs w:val="20"/>
                <w:lang w:eastAsia="en-NZ"/>
              </w:rPr>
              <w:t xml:space="preserve">outputs, i.e. inquiries and research into productivity-related matters, are </w:t>
            </w:r>
            <w:r>
              <w:rPr>
                <w:rFonts w:asciiTheme="minorHAnsi" w:eastAsia="Times New Roman" w:hAnsiTheme="minorHAnsi" w:cstheme="minorHAnsi"/>
                <w:color w:val="000000"/>
                <w:szCs w:val="20"/>
                <w:lang w:eastAsia="en-NZ"/>
              </w:rPr>
              <w:t>not part of the Commission’s discussions with Government on its funding levels.</w:t>
            </w:r>
            <w:r w:rsidR="003A0AD8">
              <w:rPr>
                <w:rFonts w:asciiTheme="minorHAnsi" w:eastAsia="Times New Roman" w:hAnsiTheme="minorHAnsi" w:cstheme="minorHAnsi"/>
                <w:color w:val="000000"/>
                <w:szCs w:val="20"/>
                <w:lang w:eastAsia="en-NZ"/>
              </w:rPr>
              <w:t xml:space="preserve"> </w:t>
            </w:r>
          </w:p>
        </w:tc>
      </w:tr>
    </w:tbl>
    <w:p w14:paraId="74B33763" w14:textId="77777777" w:rsidR="007875B1" w:rsidRPr="000C21B7" w:rsidRDefault="007875B1" w:rsidP="007365F1">
      <w:pPr>
        <w:spacing w:line="240" w:lineRule="auto"/>
        <w:rPr>
          <w:rFonts w:asciiTheme="minorHAnsi" w:hAnsiTheme="minorHAnsi"/>
          <w:sz w:val="14"/>
        </w:rPr>
      </w:pPr>
    </w:p>
    <w:sectPr w:rsidR="007875B1" w:rsidRPr="000C21B7" w:rsidSect="00DD570F">
      <w:headerReference w:type="default" r:id="rId19"/>
      <w:footerReference w:type="default" r:id="rId20"/>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E704" w14:textId="77777777" w:rsidR="00952365" w:rsidRDefault="00952365" w:rsidP="006B7AB7">
      <w:pPr>
        <w:spacing w:after="0" w:line="240" w:lineRule="auto"/>
      </w:pPr>
      <w:r>
        <w:separator/>
      </w:r>
    </w:p>
  </w:endnote>
  <w:endnote w:type="continuationSeparator" w:id="0">
    <w:p w14:paraId="1F4FA3BC" w14:textId="77777777" w:rsidR="00952365" w:rsidRDefault="00952365" w:rsidP="006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898505541"/>
      <w:docPartObj>
        <w:docPartGallery w:val="Page Numbers (Bottom of Page)"/>
        <w:docPartUnique/>
      </w:docPartObj>
    </w:sdtPr>
    <w:sdtEndPr/>
    <w:sdtContent>
      <w:sdt>
        <w:sdtPr>
          <w:rPr>
            <w:rFonts w:asciiTheme="minorHAnsi" w:hAnsiTheme="minorHAnsi"/>
            <w:sz w:val="16"/>
            <w:szCs w:val="16"/>
          </w:rPr>
          <w:id w:val="-987233569"/>
          <w:docPartObj>
            <w:docPartGallery w:val="Page Numbers (Top of Page)"/>
            <w:docPartUnique/>
          </w:docPartObj>
        </w:sdtPr>
        <w:sdtEndPr/>
        <w:sdtContent>
          <w:p w14:paraId="24FA85F7" w14:textId="164E3E20" w:rsidR="00F84911" w:rsidRPr="007C312A" w:rsidRDefault="00F84911">
            <w:pPr>
              <w:pStyle w:val="Footer"/>
              <w:jc w:val="right"/>
              <w:rPr>
                <w:rFonts w:asciiTheme="minorHAnsi" w:hAnsiTheme="minorHAnsi"/>
                <w:sz w:val="16"/>
                <w:szCs w:val="16"/>
              </w:rPr>
            </w:pPr>
            <w:r w:rsidRPr="007C312A">
              <w:rPr>
                <w:rFonts w:asciiTheme="minorHAnsi" w:hAnsiTheme="minorHAnsi"/>
                <w:sz w:val="16"/>
                <w:szCs w:val="16"/>
              </w:rPr>
              <w:t xml:space="preserve">Page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PAGE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r w:rsidRPr="007C312A">
              <w:rPr>
                <w:rFonts w:asciiTheme="minorHAnsi" w:hAnsiTheme="minorHAnsi"/>
                <w:sz w:val="16"/>
                <w:szCs w:val="16"/>
              </w:rPr>
              <w:t xml:space="preserve"> of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NUMPAGES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p>
        </w:sdtContent>
      </w:sdt>
    </w:sdtContent>
  </w:sdt>
  <w:p w14:paraId="215D4AE8" w14:textId="77777777" w:rsidR="00F84911" w:rsidRDefault="00F8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7E26" w14:textId="77777777" w:rsidR="00952365" w:rsidRDefault="00952365" w:rsidP="006B7AB7">
      <w:pPr>
        <w:spacing w:after="0" w:line="240" w:lineRule="auto"/>
      </w:pPr>
      <w:r>
        <w:separator/>
      </w:r>
    </w:p>
  </w:footnote>
  <w:footnote w:type="continuationSeparator" w:id="0">
    <w:p w14:paraId="24DB6869" w14:textId="77777777" w:rsidR="00952365" w:rsidRDefault="00952365" w:rsidP="006B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EE29" w14:textId="4BD6D8D7" w:rsidR="00F84911" w:rsidRPr="005F650A" w:rsidRDefault="00F84911" w:rsidP="005F650A">
    <w:pPr>
      <w:pStyle w:val="Header"/>
      <w:jc w:val="right"/>
      <w:rPr>
        <w:rFonts w:asciiTheme="minorHAnsi" w:hAnsiTheme="minorHAnsi"/>
        <w:sz w:val="16"/>
        <w:szCs w:val="16"/>
      </w:rPr>
    </w:pPr>
    <w:r w:rsidRPr="005F650A">
      <w:rPr>
        <w:rFonts w:asciiTheme="minorHAnsi" w:hAnsiTheme="minorHAnsi"/>
        <w:sz w:val="16"/>
        <w:szCs w:val="16"/>
      </w:rPr>
      <w:t>NZ Productivity Commission 2017/18 Review:</w:t>
    </w:r>
    <w:r>
      <w:rPr>
        <w:rFonts w:asciiTheme="minorHAnsi" w:hAnsiTheme="minorHAnsi"/>
        <w:sz w:val="16"/>
        <w:szCs w:val="16"/>
      </w:rPr>
      <w:t xml:space="preserve"> </w:t>
    </w:r>
    <w:r w:rsidRPr="005F650A">
      <w:rPr>
        <w:rFonts w:asciiTheme="minorHAnsi" w:hAnsiTheme="minorHAnsi"/>
        <w:sz w:val="16"/>
        <w:szCs w:val="16"/>
      </w:rPr>
      <w:t>Economic Development, Science &amp; Innovation Committee</w:t>
    </w:r>
    <w:r>
      <w:rPr>
        <w:rFonts w:asciiTheme="minorHAnsi" w:hAnsiTheme="minorHAnsi"/>
        <w:sz w:val="16"/>
        <w:szCs w:val="16"/>
      </w:rPr>
      <w:t xml:space="preserve"> - </w:t>
    </w:r>
    <w:r w:rsidRPr="005F650A">
      <w:rPr>
        <w:rFonts w:asciiTheme="minorHAnsi" w:hAnsiTheme="minorHAnsi"/>
        <w:sz w:val="16"/>
        <w:szCs w:val="16"/>
      </w:rPr>
      <w:t>‘</w:t>
    </w:r>
    <w:r w:rsidR="00D872B4">
      <w:rPr>
        <w:rFonts w:asciiTheme="minorHAnsi" w:hAnsiTheme="minorHAnsi"/>
        <w:sz w:val="16"/>
        <w:szCs w:val="16"/>
      </w:rPr>
      <w:t xml:space="preserve">Further </w:t>
    </w:r>
    <w:r w:rsidRPr="005F650A">
      <w:rPr>
        <w:rFonts w:asciiTheme="minorHAnsi" w:hAnsiTheme="minorHAnsi"/>
        <w:sz w:val="16"/>
        <w:szCs w:val="16"/>
      </w:rPr>
      <w:t>Questions’ 1</w:t>
    </w:r>
    <w:r w:rsidR="00D872B4">
      <w:rPr>
        <w:rFonts w:asciiTheme="minorHAnsi" w:hAnsiTheme="minorHAnsi"/>
        <w:sz w:val="16"/>
        <w:szCs w:val="16"/>
      </w:rPr>
      <w:t>13</w:t>
    </w:r>
    <w:r w:rsidRPr="005F650A">
      <w:rPr>
        <w:rFonts w:asciiTheme="minorHAnsi" w:hAnsiTheme="minorHAnsi"/>
        <w:sz w:val="16"/>
        <w:szCs w:val="16"/>
      </w:rPr>
      <w:t>-12</w:t>
    </w:r>
    <w:r w:rsidR="00D872B4">
      <w:rPr>
        <w:rFonts w:asciiTheme="minorHAnsi" w:hAnsiTheme="minorHAnsi"/>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B70"/>
    <w:multiLevelType w:val="hybridMultilevel"/>
    <w:tmpl w:val="EE1C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F70D1"/>
    <w:multiLevelType w:val="hybridMultilevel"/>
    <w:tmpl w:val="C0E218EC"/>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1C386D"/>
    <w:multiLevelType w:val="multilevel"/>
    <w:tmpl w:val="FAC4B69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D3A3D"/>
    <w:multiLevelType w:val="hybridMultilevel"/>
    <w:tmpl w:val="0C00CA72"/>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5776C9"/>
    <w:multiLevelType w:val="hybridMultilevel"/>
    <w:tmpl w:val="923C9D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9F4653"/>
    <w:multiLevelType w:val="hybridMultilevel"/>
    <w:tmpl w:val="59CA233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367D3B"/>
    <w:multiLevelType w:val="multilevel"/>
    <w:tmpl w:val="1A60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55A9C"/>
    <w:multiLevelType w:val="hybridMultilevel"/>
    <w:tmpl w:val="CED8B870"/>
    <w:lvl w:ilvl="0" w:tplc="719276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493187B"/>
    <w:multiLevelType w:val="hybridMultilevel"/>
    <w:tmpl w:val="D0B67824"/>
    <w:lvl w:ilvl="0" w:tplc="FE7A5A2A">
      <w:start w:val="1"/>
      <w:numFmt w:val="bullet"/>
      <w:lvlText w:val=""/>
      <w:lvlJc w:val="left"/>
      <w:pPr>
        <w:ind w:left="784" w:hanging="360"/>
      </w:pPr>
      <w:rPr>
        <w:rFonts w:ascii="Symbol" w:hAnsi="Symbol" w:hint="default"/>
        <w:color w:val="auto"/>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9" w15:restartNumberingAfterBreak="0">
    <w:nsid w:val="359A1EA5"/>
    <w:multiLevelType w:val="hybridMultilevel"/>
    <w:tmpl w:val="B11C244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2B0EEC"/>
    <w:multiLevelType w:val="hybridMultilevel"/>
    <w:tmpl w:val="6F06A24E"/>
    <w:lvl w:ilvl="0" w:tplc="15D0134E">
      <w:numFmt w:val="bullet"/>
      <w:lvlText w:val="-"/>
      <w:lvlJc w:val="left"/>
      <w:pPr>
        <w:ind w:left="111" w:hanging="142"/>
      </w:pPr>
      <w:rPr>
        <w:rFonts w:ascii="Arial" w:eastAsia="Arial" w:hAnsi="Arial" w:cs="Arial" w:hint="default"/>
        <w:w w:val="100"/>
        <w:sz w:val="23"/>
        <w:szCs w:val="23"/>
        <w:lang w:val="en-NZ" w:eastAsia="en-NZ" w:bidi="en-NZ"/>
      </w:rPr>
    </w:lvl>
    <w:lvl w:ilvl="1" w:tplc="DBC00B08">
      <w:numFmt w:val="bullet"/>
      <w:lvlText w:val="•"/>
      <w:lvlJc w:val="left"/>
      <w:pPr>
        <w:ind w:left="1114" w:hanging="142"/>
      </w:pPr>
      <w:rPr>
        <w:rFonts w:hint="default"/>
        <w:lang w:val="en-NZ" w:eastAsia="en-NZ" w:bidi="en-NZ"/>
      </w:rPr>
    </w:lvl>
    <w:lvl w:ilvl="2" w:tplc="6E38BC08">
      <w:numFmt w:val="bullet"/>
      <w:lvlText w:val="•"/>
      <w:lvlJc w:val="left"/>
      <w:pPr>
        <w:ind w:left="2109" w:hanging="142"/>
      </w:pPr>
      <w:rPr>
        <w:rFonts w:hint="default"/>
        <w:lang w:val="en-NZ" w:eastAsia="en-NZ" w:bidi="en-NZ"/>
      </w:rPr>
    </w:lvl>
    <w:lvl w:ilvl="3" w:tplc="257A0C92">
      <w:numFmt w:val="bullet"/>
      <w:lvlText w:val="•"/>
      <w:lvlJc w:val="left"/>
      <w:pPr>
        <w:ind w:left="3103" w:hanging="142"/>
      </w:pPr>
      <w:rPr>
        <w:rFonts w:hint="default"/>
        <w:lang w:val="en-NZ" w:eastAsia="en-NZ" w:bidi="en-NZ"/>
      </w:rPr>
    </w:lvl>
    <w:lvl w:ilvl="4" w:tplc="88825820">
      <w:numFmt w:val="bullet"/>
      <w:lvlText w:val="•"/>
      <w:lvlJc w:val="left"/>
      <w:pPr>
        <w:ind w:left="4098" w:hanging="142"/>
      </w:pPr>
      <w:rPr>
        <w:rFonts w:hint="default"/>
        <w:lang w:val="en-NZ" w:eastAsia="en-NZ" w:bidi="en-NZ"/>
      </w:rPr>
    </w:lvl>
    <w:lvl w:ilvl="5" w:tplc="4E56D1DA">
      <w:numFmt w:val="bullet"/>
      <w:lvlText w:val="•"/>
      <w:lvlJc w:val="left"/>
      <w:pPr>
        <w:ind w:left="5093" w:hanging="142"/>
      </w:pPr>
      <w:rPr>
        <w:rFonts w:hint="default"/>
        <w:lang w:val="en-NZ" w:eastAsia="en-NZ" w:bidi="en-NZ"/>
      </w:rPr>
    </w:lvl>
    <w:lvl w:ilvl="6" w:tplc="2408A228">
      <w:numFmt w:val="bullet"/>
      <w:lvlText w:val="•"/>
      <w:lvlJc w:val="left"/>
      <w:pPr>
        <w:ind w:left="6087" w:hanging="142"/>
      </w:pPr>
      <w:rPr>
        <w:rFonts w:hint="default"/>
        <w:lang w:val="en-NZ" w:eastAsia="en-NZ" w:bidi="en-NZ"/>
      </w:rPr>
    </w:lvl>
    <w:lvl w:ilvl="7" w:tplc="44AE4374">
      <w:numFmt w:val="bullet"/>
      <w:lvlText w:val="•"/>
      <w:lvlJc w:val="left"/>
      <w:pPr>
        <w:ind w:left="7082" w:hanging="142"/>
      </w:pPr>
      <w:rPr>
        <w:rFonts w:hint="default"/>
        <w:lang w:val="en-NZ" w:eastAsia="en-NZ" w:bidi="en-NZ"/>
      </w:rPr>
    </w:lvl>
    <w:lvl w:ilvl="8" w:tplc="0A0CC30E">
      <w:numFmt w:val="bullet"/>
      <w:lvlText w:val="•"/>
      <w:lvlJc w:val="left"/>
      <w:pPr>
        <w:ind w:left="8077" w:hanging="142"/>
      </w:pPr>
      <w:rPr>
        <w:rFonts w:hint="default"/>
        <w:lang w:val="en-NZ" w:eastAsia="en-NZ" w:bidi="en-NZ"/>
      </w:rPr>
    </w:lvl>
  </w:abstractNum>
  <w:abstractNum w:abstractNumId="11" w15:restartNumberingAfterBreak="0">
    <w:nsid w:val="3DEA78C4"/>
    <w:multiLevelType w:val="hybridMultilevel"/>
    <w:tmpl w:val="85548FA8"/>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0F09E5"/>
    <w:multiLevelType w:val="hybridMultilevel"/>
    <w:tmpl w:val="A2C2854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8B340A"/>
    <w:multiLevelType w:val="hybridMultilevel"/>
    <w:tmpl w:val="54B64C06"/>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4E333454"/>
    <w:multiLevelType w:val="hybridMultilevel"/>
    <w:tmpl w:val="85101778"/>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F063EC"/>
    <w:multiLevelType w:val="multilevel"/>
    <w:tmpl w:val="5BC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0A1A06"/>
    <w:multiLevelType w:val="hybridMultilevel"/>
    <w:tmpl w:val="FCD051BA"/>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817163"/>
    <w:multiLevelType w:val="hybridMultilevel"/>
    <w:tmpl w:val="52422ECE"/>
    <w:lvl w:ilvl="0" w:tplc="DDE4F9CE">
      <w:numFmt w:val="bullet"/>
      <w:lvlText w:val="-"/>
      <w:lvlJc w:val="left"/>
      <w:pPr>
        <w:ind w:left="111" w:hanging="142"/>
      </w:pPr>
      <w:rPr>
        <w:rFonts w:ascii="Arial" w:eastAsia="Arial" w:hAnsi="Arial" w:cs="Arial" w:hint="default"/>
        <w:w w:val="100"/>
        <w:sz w:val="23"/>
        <w:szCs w:val="23"/>
        <w:lang w:val="en-NZ" w:eastAsia="en-NZ" w:bidi="en-NZ"/>
      </w:rPr>
    </w:lvl>
    <w:lvl w:ilvl="1" w:tplc="E42C28E2">
      <w:numFmt w:val="bullet"/>
      <w:lvlText w:val="•"/>
      <w:lvlJc w:val="left"/>
      <w:pPr>
        <w:ind w:left="1114" w:hanging="142"/>
      </w:pPr>
      <w:rPr>
        <w:rFonts w:hint="default"/>
        <w:lang w:val="en-NZ" w:eastAsia="en-NZ" w:bidi="en-NZ"/>
      </w:rPr>
    </w:lvl>
    <w:lvl w:ilvl="2" w:tplc="C9123CB4">
      <w:numFmt w:val="bullet"/>
      <w:lvlText w:val="•"/>
      <w:lvlJc w:val="left"/>
      <w:pPr>
        <w:ind w:left="2109" w:hanging="142"/>
      </w:pPr>
      <w:rPr>
        <w:rFonts w:hint="default"/>
        <w:lang w:val="en-NZ" w:eastAsia="en-NZ" w:bidi="en-NZ"/>
      </w:rPr>
    </w:lvl>
    <w:lvl w:ilvl="3" w:tplc="30AC7D60">
      <w:numFmt w:val="bullet"/>
      <w:lvlText w:val="•"/>
      <w:lvlJc w:val="left"/>
      <w:pPr>
        <w:ind w:left="3103" w:hanging="142"/>
      </w:pPr>
      <w:rPr>
        <w:rFonts w:hint="default"/>
        <w:lang w:val="en-NZ" w:eastAsia="en-NZ" w:bidi="en-NZ"/>
      </w:rPr>
    </w:lvl>
    <w:lvl w:ilvl="4" w:tplc="6C3A57A0">
      <w:numFmt w:val="bullet"/>
      <w:lvlText w:val="•"/>
      <w:lvlJc w:val="left"/>
      <w:pPr>
        <w:ind w:left="4098" w:hanging="142"/>
      </w:pPr>
      <w:rPr>
        <w:rFonts w:hint="default"/>
        <w:lang w:val="en-NZ" w:eastAsia="en-NZ" w:bidi="en-NZ"/>
      </w:rPr>
    </w:lvl>
    <w:lvl w:ilvl="5" w:tplc="FCD2B080">
      <w:numFmt w:val="bullet"/>
      <w:lvlText w:val="•"/>
      <w:lvlJc w:val="left"/>
      <w:pPr>
        <w:ind w:left="5093" w:hanging="142"/>
      </w:pPr>
      <w:rPr>
        <w:rFonts w:hint="default"/>
        <w:lang w:val="en-NZ" w:eastAsia="en-NZ" w:bidi="en-NZ"/>
      </w:rPr>
    </w:lvl>
    <w:lvl w:ilvl="6" w:tplc="94DC2764">
      <w:numFmt w:val="bullet"/>
      <w:lvlText w:val="•"/>
      <w:lvlJc w:val="left"/>
      <w:pPr>
        <w:ind w:left="6087" w:hanging="142"/>
      </w:pPr>
      <w:rPr>
        <w:rFonts w:hint="default"/>
        <w:lang w:val="en-NZ" w:eastAsia="en-NZ" w:bidi="en-NZ"/>
      </w:rPr>
    </w:lvl>
    <w:lvl w:ilvl="7" w:tplc="B1E0661C">
      <w:numFmt w:val="bullet"/>
      <w:lvlText w:val="•"/>
      <w:lvlJc w:val="left"/>
      <w:pPr>
        <w:ind w:left="7082" w:hanging="142"/>
      </w:pPr>
      <w:rPr>
        <w:rFonts w:hint="default"/>
        <w:lang w:val="en-NZ" w:eastAsia="en-NZ" w:bidi="en-NZ"/>
      </w:rPr>
    </w:lvl>
    <w:lvl w:ilvl="8" w:tplc="D5A22458">
      <w:numFmt w:val="bullet"/>
      <w:lvlText w:val="•"/>
      <w:lvlJc w:val="left"/>
      <w:pPr>
        <w:ind w:left="8077" w:hanging="142"/>
      </w:pPr>
      <w:rPr>
        <w:rFonts w:hint="default"/>
        <w:lang w:val="en-NZ" w:eastAsia="en-NZ" w:bidi="en-NZ"/>
      </w:rPr>
    </w:lvl>
  </w:abstractNum>
  <w:abstractNum w:abstractNumId="18" w15:restartNumberingAfterBreak="0">
    <w:nsid w:val="581F6F3E"/>
    <w:multiLevelType w:val="hybridMultilevel"/>
    <w:tmpl w:val="CD281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6A6488"/>
    <w:multiLevelType w:val="multilevel"/>
    <w:tmpl w:val="FA506EF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0E5F52"/>
    <w:multiLevelType w:val="hybridMultilevel"/>
    <w:tmpl w:val="C9D69A4E"/>
    <w:lvl w:ilvl="0" w:tplc="BD2E2D5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316F75"/>
    <w:multiLevelType w:val="hybridMultilevel"/>
    <w:tmpl w:val="62B8B6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2A1EDB"/>
    <w:multiLevelType w:val="hybridMultilevel"/>
    <w:tmpl w:val="DD161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7A5F6509"/>
    <w:multiLevelType w:val="hybridMultilevel"/>
    <w:tmpl w:val="11E60FD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3D6F3F"/>
    <w:multiLevelType w:val="hybridMultilevel"/>
    <w:tmpl w:val="1A00B6B8"/>
    <w:lvl w:ilvl="0" w:tplc="64243196">
      <w:start w:val="4"/>
      <w:numFmt w:val="bullet"/>
      <w:lvlText w:val="•"/>
      <w:lvlJc w:val="left"/>
      <w:pPr>
        <w:ind w:left="363" w:hanging="720"/>
      </w:pPr>
      <w:rPr>
        <w:rFonts w:ascii="Calibri" w:eastAsia="SimSun" w:hAnsi="Calibri" w:cs="Calibri"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7E624F8F"/>
    <w:multiLevelType w:val="multilevel"/>
    <w:tmpl w:val="5B9A87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0"/>
  </w:num>
  <w:num w:numId="3">
    <w:abstractNumId w:val="7"/>
  </w:num>
  <w:num w:numId="4">
    <w:abstractNumId w:val="12"/>
  </w:num>
  <w:num w:numId="5">
    <w:abstractNumId w:val="13"/>
  </w:num>
  <w:num w:numId="6">
    <w:abstractNumId w:val="9"/>
  </w:num>
  <w:num w:numId="7">
    <w:abstractNumId w:val="5"/>
  </w:num>
  <w:num w:numId="8">
    <w:abstractNumId w:val="17"/>
  </w:num>
  <w:num w:numId="9">
    <w:abstractNumId w:val="23"/>
  </w:num>
  <w:num w:numId="10">
    <w:abstractNumId w:val="10"/>
  </w:num>
  <w:num w:numId="11">
    <w:abstractNumId w:val="18"/>
  </w:num>
  <w:num w:numId="12">
    <w:abstractNumId w:val="1"/>
  </w:num>
  <w:num w:numId="13">
    <w:abstractNumId w:val="0"/>
  </w:num>
  <w:num w:numId="14">
    <w:abstractNumId w:val="8"/>
  </w:num>
  <w:num w:numId="15">
    <w:abstractNumId w:val="16"/>
  </w:num>
  <w:num w:numId="16">
    <w:abstractNumId w:val="14"/>
  </w:num>
  <w:num w:numId="17">
    <w:abstractNumId w:val="11"/>
  </w:num>
  <w:num w:numId="18">
    <w:abstractNumId w:val="3"/>
  </w:num>
  <w:num w:numId="19">
    <w:abstractNumId w:val="4"/>
  </w:num>
  <w:num w:numId="20">
    <w:abstractNumId w:val="21"/>
  </w:num>
  <w:num w:numId="21">
    <w:abstractNumId w:val="22"/>
  </w:num>
  <w:num w:numId="22">
    <w:abstractNumId w:val="25"/>
  </w:num>
  <w:num w:numId="23">
    <w:abstractNumId w:val="6"/>
  </w:num>
  <w:num w:numId="24">
    <w:abstractNumId w:val="15"/>
  </w:num>
  <w:num w:numId="25">
    <w:abstractNumId w:val="19"/>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1D"/>
    <w:rsid w:val="000031AC"/>
    <w:rsid w:val="0000581A"/>
    <w:rsid w:val="000116CB"/>
    <w:rsid w:val="00022B92"/>
    <w:rsid w:val="00024956"/>
    <w:rsid w:val="0003004B"/>
    <w:rsid w:val="00034AB7"/>
    <w:rsid w:val="00046A15"/>
    <w:rsid w:val="0005330B"/>
    <w:rsid w:val="00053B1B"/>
    <w:rsid w:val="000613B6"/>
    <w:rsid w:val="0006539C"/>
    <w:rsid w:val="00072A3E"/>
    <w:rsid w:val="0007515B"/>
    <w:rsid w:val="00081C69"/>
    <w:rsid w:val="0008213E"/>
    <w:rsid w:val="00087319"/>
    <w:rsid w:val="00087C87"/>
    <w:rsid w:val="0009240C"/>
    <w:rsid w:val="000A10AB"/>
    <w:rsid w:val="000B16D3"/>
    <w:rsid w:val="000C074B"/>
    <w:rsid w:val="000C0AE4"/>
    <w:rsid w:val="000C21B7"/>
    <w:rsid w:val="000C38D5"/>
    <w:rsid w:val="000C3F32"/>
    <w:rsid w:val="000D2215"/>
    <w:rsid w:val="000D5F62"/>
    <w:rsid w:val="000E6B4B"/>
    <w:rsid w:val="000F2604"/>
    <w:rsid w:val="000F381E"/>
    <w:rsid w:val="000F7EF9"/>
    <w:rsid w:val="00100A3C"/>
    <w:rsid w:val="00102423"/>
    <w:rsid w:val="00102A04"/>
    <w:rsid w:val="0011255C"/>
    <w:rsid w:val="00112CAB"/>
    <w:rsid w:val="0011413F"/>
    <w:rsid w:val="001202DB"/>
    <w:rsid w:val="001309A9"/>
    <w:rsid w:val="00131D38"/>
    <w:rsid w:val="001350F5"/>
    <w:rsid w:val="00136660"/>
    <w:rsid w:val="00140E91"/>
    <w:rsid w:val="001420C8"/>
    <w:rsid w:val="00144C56"/>
    <w:rsid w:val="00145600"/>
    <w:rsid w:val="00151962"/>
    <w:rsid w:val="00160733"/>
    <w:rsid w:val="00174772"/>
    <w:rsid w:val="001772C2"/>
    <w:rsid w:val="001779EC"/>
    <w:rsid w:val="0018136E"/>
    <w:rsid w:val="00181598"/>
    <w:rsid w:val="00184049"/>
    <w:rsid w:val="00187A68"/>
    <w:rsid w:val="00192D50"/>
    <w:rsid w:val="001934E7"/>
    <w:rsid w:val="00193E32"/>
    <w:rsid w:val="00194789"/>
    <w:rsid w:val="001A2719"/>
    <w:rsid w:val="001A344C"/>
    <w:rsid w:val="001A5B31"/>
    <w:rsid w:val="001B647A"/>
    <w:rsid w:val="001C296C"/>
    <w:rsid w:val="001C6094"/>
    <w:rsid w:val="001C68B3"/>
    <w:rsid w:val="001D4C29"/>
    <w:rsid w:val="001D5538"/>
    <w:rsid w:val="001E734A"/>
    <w:rsid w:val="002002A2"/>
    <w:rsid w:val="00204FB2"/>
    <w:rsid w:val="0020512D"/>
    <w:rsid w:val="002117D0"/>
    <w:rsid w:val="00214866"/>
    <w:rsid w:val="0022022E"/>
    <w:rsid w:val="00231BEA"/>
    <w:rsid w:val="00240453"/>
    <w:rsid w:val="002426FC"/>
    <w:rsid w:val="00250225"/>
    <w:rsid w:val="00250DD5"/>
    <w:rsid w:val="00252814"/>
    <w:rsid w:val="00252B6F"/>
    <w:rsid w:val="002534E3"/>
    <w:rsid w:val="00262923"/>
    <w:rsid w:val="002724DF"/>
    <w:rsid w:val="00275DA8"/>
    <w:rsid w:val="00292C48"/>
    <w:rsid w:val="00293A39"/>
    <w:rsid w:val="002A5BD6"/>
    <w:rsid w:val="002A68E5"/>
    <w:rsid w:val="002B0A5F"/>
    <w:rsid w:val="002B1258"/>
    <w:rsid w:val="002C32F2"/>
    <w:rsid w:val="002C6784"/>
    <w:rsid w:val="002C7332"/>
    <w:rsid w:val="002D2A3E"/>
    <w:rsid w:val="002D5496"/>
    <w:rsid w:val="002D6CB4"/>
    <w:rsid w:val="002D6FA8"/>
    <w:rsid w:val="002E6203"/>
    <w:rsid w:val="002F0ACA"/>
    <w:rsid w:val="00300037"/>
    <w:rsid w:val="00300CBE"/>
    <w:rsid w:val="00303518"/>
    <w:rsid w:val="00303CB0"/>
    <w:rsid w:val="0031233D"/>
    <w:rsid w:val="003132D1"/>
    <w:rsid w:val="00320219"/>
    <w:rsid w:val="00321244"/>
    <w:rsid w:val="003252D4"/>
    <w:rsid w:val="00327DB6"/>
    <w:rsid w:val="00330262"/>
    <w:rsid w:val="00333670"/>
    <w:rsid w:val="00335A55"/>
    <w:rsid w:val="00336054"/>
    <w:rsid w:val="00337434"/>
    <w:rsid w:val="003625E6"/>
    <w:rsid w:val="00363C92"/>
    <w:rsid w:val="00367C9E"/>
    <w:rsid w:val="003735B9"/>
    <w:rsid w:val="00382FCE"/>
    <w:rsid w:val="00385340"/>
    <w:rsid w:val="00392CF3"/>
    <w:rsid w:val="0039414B"/>
    <w:rsid w:val="003A0AD8"/>
    <w:rsid w:val="003A21BD"/>
    <w:rsid w:val="003A3586"/>
    <w:rsid w:val="003A3B1C"/>
    <w:rsid w:val="003A7E00"/>
    <w:rsid w:val="003B0418"/>
    <w:rsid w:val="003B2CB1"/>
    <w:rsid w:val="003B4EAF"/>
    <w:rsid w:val="003B6153"/>
    <w:rsid w:val="003D145A"/>
    <w:rsid w:val="003D2D1A"/>
    <w:rsid w:val="003E1CFD"/>
    <w:rsid w:val="003F18DC"/>
    <w:rsid w:val="003F1C4D"/>
    <w:rsid w:val="003F5119"/>
    <w:rsid w:val="003F7BD9"/>
    <w:rsid w:val="00411AE8"/>
    <w:rsid w:val="00411EF1"/>
    <w:rsid w:val="00412DFF"/>
    <w:rsid w:val="004214B3"/>
    <w:rsid w:val="00421C7B"/>
    <w:rsid w:val="0043627C"/>
    <w:rsid w:val="00447C2F"/>
    <w:rsid w:val="00453846"/>
    <w:rsid w:val="00455089"/>
    <w:rsid w:val="00456B0D"/>
    <w:rsid w:val="00460715"/>
    <w:rsid w:val="00474500"/>
    <w:rsid w:val="00485C13"/>
    <w:rsid w:val="00490F84"/>
    <w:rsid w:val="00497B95"/>
    <w:rsid w:val="004A01F3"/>
    <w:rsid w:val="004A4EE1"/>
    <w:rsid w:val="004A7C7E"/>
    <w:rsid w:val="004B6C90"/>
    <w:rsid w:val="004D3928"/>
    <w:rsid w:val="004D3E76"/>
    <w:rsid w:val="004D4565"/>
    <w:rsid w:val="004D68CE"/>
    <w:rsid w:val="004D69DF"/>
    <w:rsid w:val="004D78E9"/>
    <w:rsid w:val="004E2222"/>
    <w:rsid w:val="004E30CE"/>
    <w:rsid w:val="004F49EA"/>
    <w:rsid w:val="004F7D47"/>
    <w:rsid w:val="004F7F39"/>
    <w:rsid w:val="00501B57"/>
    <w:rsid w:val="0050620A"/>
    <w:rsid w:val="0050676B"/>
    <w:rsid w:val="005073D5"/>
    <w:rsid w:val="0051403A"/>
    <w:rsid w:val="0051571D"/>
    <w:rsid w:val="00516BCF"/>
    <w:rsid w:val="005175B6"/>
    <w:rsid w:val="005264EE"/>
    <w:rsid w:val="0053683E"/>
    <w:rsid w:val="00544E50"/>
    <w:rsid w:val="0054668D"/>
    <w:rsid w:val="005541C0"/>
    <w:rsid w:val="00556961"/>
    <w:rsid w:val="00566723"/>
    <w:rsid w:val="00571D63"/>
    <w:rsid w:val="0058167B"/>
    <w:rsid w:val="00587079"/>
    <w:rsid w:val="005A5165"/>
    <w:rsid w:val="005C1BA3"/>
    <w:rsid w:val="005C2F01"/>
    <w:rsid w:val="005C4C21"/>
    <w:rsid w:val="005D01A6"/>
    <w:rsid w:val="005D296E"/>
    <w:rsid w:val="005E4D37"/>
    <w:rsid w:val="005F650A"/>
    <w:rsid w:val="00602BA3"/>
    <w:rsid w:val="006038B9"/>
    <w:rsid w:val="00613A09"/>
    <w:rsid w:val="0061658B"/>
    <w:rsid w:val="0062368D"/>
    <w:rsid w:val="006265A1"/>
    <w:rsid w:val="0064601D"/>
    <w:rsid w:val="00663FE3"/>
    <w:rsid w:val="00666C76"/>
    <w:rsid w:val="00671DBA"/>
    <w:rsid w:val="006840D3"/>
    <w:rsid w:val="00690B8B"/>
    <w:rsid w:val="0069285C"/>
    <w:rsid w:val="006A1213"/>
    <w:rsid w:val="006A3EB3"/>
    <w:rsid w:val="006B638F"/>
    <w:rsid w:val="006B6B05"/>
    <w:rsid w:val="006B7AB7"/>
    <w:rsid w:val="006C1BD4"/>
    <w:rsid w:val="006D10E0"/>
    <w:rsid w:val="006D2426"/>
    <w:rsid w:val="006E0888"/>
    <w:rsid w:val="006E1049"/>
    <w:rsid w:val="006E4906"/>
    <w:rsid w:val="006E582D"/>
    <w:rsid w:val="006F0C97"/>
    <w:rsid w:val="006F145A"/>
    <w:rsid w:val="006F1D7F"/>
    <w:rsid w:val="006F1E95"/>
    <w:rsid w:val="006F4137"/>
    <w:rsid w:val="006F4801"/>
    <w:rsid w:val="00705BB2"/>
    <w:rsid w:val="00722360"/>
    <w:rsid w:val="00726078"/>
    <w:rsid w:val="00726EA3"/>
    <w:rsid w:val="0073181D"/>
    <w:rsid w:val="00735A4F"/>
    <w:rsid w:val="0073646F"/>
    <w:rsid w:val="007365F1"/>
    <w:rsid w:val="00751AB1"/>
    <w:rsid w:val="0075433F"/>
    <w:rsid w:val="00765265"/>
    <w:rsid w:val="007715D4"/>
    <w:rsid w:val="00780DC2"/>
    <w:rsid w:val="00784F12"/>
    <w:rsid w:val="007875B1"/>
    <w:rsid w:val="00787B98"/>
    <w:rsid w:val="007908B6"/>
    <w:rsid w:val="00791DD3"/>
    <w:rsid w:val="00797445"/>
    <w:rsid w:val="007A1E64"/>
    <w:rsid w:val="007A4306"/>
    <w:rsid w:val="007B32CF"/>
    <w:rsid w:val="007B4D57"/>
    <w:rsid w:val="007C0992"/>
    <w:rsid w:val="007C269E"/>
    <w:rsid w:val="007C312A"/>
    <w:rsid w:val="007C6218"/>
    <w:rsid w:val="007C64CC"/>
    <w:rsid w:val="007E09C9"/>
    <w:rsid w:val="007E0DC4"/>
    <w:rsid w:val="007E2BE4"/>
    <w:rsid w:val="007F2F90"/>
    <w:rsid w:val="00801149"/>
    <w:rsid w:val="00802E38"/>
    <w:rsid w:val="00806122"/>
    <w:rsid w:val="00822335"/>
    <w:rsid w:val="00825AA3"/>
    <w:rsid w:val="008318B6"/>
    <w:rsid w:val="00853873"/>
    <w:rsid w:val="00862701"/>
    <w:rsid w:val="00865430"/>
    <w:rsid w:val="00865F39"/>
    <w:rsid w:val="00870C1E"/>
    <w:rsid w:val="00871ED8"/>
    <w:rsid w:val="008759A7"/>
    <w:rsid w:val="008767CF"/>
    <w:rsid w:val="00881EF2"/>
    <w:rsid w:val="008843EA"/>
    <w:rsid w:val="00886168"/>
    <w:rsid w:val="00890B61"/>
    <w:rsid w:val="00891419"/>
    <w:rsid w:val="008A0E70"/>
    <w:rsid w:val="008A148C"/>
    <w:rsid w:val="008A31B3"/>
    <w:rsid w:val="008A3EA4"/>
    <w:rsid w:val="008B2DDB"/>
    <w:rsid w:val="008C26E2"/>
    <w:rsid w:val="008C46FA"/>
    <w:rsid w:val="008D5EB5"/>
    <w:rsid w:val="008E0F77"/>
    <w:rsid w:val="008E1BFB"/>
    <w:rsid w:val="008E1DE1"/>
    <w:rsid w:val="008E4D8A"/>
    <w:rsid w:val="008F213D"/>
    <w:rsid w:val="008F315C"/>
    <w:rsid w:val="008F3D88"/>
    <w:rsid w:val="008F64E3"/>
    <w:rsid w:val="008F67E0"/>
    <w:rsid w:val="008F6F93"/>
    <w:rsid w:val="00903D45"/>
    <w:rsid w:val="009074D2"/>
    <w:rsid w:val="009114D4"/>
    <w:rsid w:val="0091574F"/>
    <w:rsid w:val="009167DF"/>
    <w:rsid w:val="00921BCA"/>
    <w:rsid w:val="009273E7"/>
    <w:rsid w:val="009346ED"/>
    <w:rsid w:val="009354EF"/>
    <w:rsid w:val="00937937"/>
    <w:rsid w:val="00937FF7"/>
    <w:rsid w:val="0094424E"/>
    <w:rsid w:val="00946FC1"/>
    <w:rsid w:val="00952365"/>
    <w:rsid w:val="0095395A"/>
    <w:rsid w:val="00954BD3"/>
    <w:rsid w:val="00960B85"/>
    <w:rsid w:val="009677DE"/>
    <w:rsid w:val="00975A96"/>
    <w:rsid w:val="00981EF6"/>
    <w:rsid w:val="009A3F44"/>
    <w:rsid w:val="009A4496"/>
    <w:rsid w:val="009B6E62"/>
    <w:rsid w:val="009C49B1"/>
    <w:rsid w:val="009C5579"/>
    <w:rsid w:val="009D76FC"/>
    <w:rsid w:val="009E1218"/>
    <w:rsid w:val="009E4299"/>
    <w:rsid w:val="009F4612"/>
    <w:rsid w:val="009F6C9B"/>
    <w:rsid w:val="00A065FB"/>
    <w:rsid w:val="00A12C9F"/>
    <w:rsid w:val="00A151FF"/>
    <w:rsid w:val="00A20A96"/>
    <w:rsid w:val="00A24611"/>
    <w:rsid w:val="00A40BCC"/>
    <w:rsid w:val="00A421DC"/>
    <w:rsid w:val="00A43631"/>
    <w:rsid w:val="00A43C85"/>
    <w:rsid w:val="00A43D73"/>
    <w:rsid w:val="00A4456F"/>
    <w:rsid w:val="00A52378"/>
    <w:rsid w:val="00A530C6"/>
    <w:rsid w:val="00A54551"/>
    <w:rsid w:val="00A55F6E"/>
    <w:rsid w:val="00A6583F"/>
    <w:rsid w:val="00A75596"/>
    <w:rsid w:val="00A80C30"/>
    <w:rsid w:val="00A83594"/>
    <w:rsid w:val="00A8677B"/>
    <w:rsid w:val="00A87FCE"/>
    <w:rsid w:val="00A93551"/>
    <w:rsid w:val="00A97EC4"/>
    <w:rsid w:val="00AA07F7"/>
    <w:rsid w:val="00AA0B6B"/>
    <w:rsid w:val="00AA13A0"/>
    <w:rsid w:val="00AA2518"/>
    <w:rsid w:val="00AA34E9"/>
    <w:rsid w:val="00AA54A9"/>
    <w:rsid w:val="00AB3BC7"/>
    <w:rsid w:val="00AB6492"/>
    <w:rsid w:val="00AB7A23"/>
    <w:rsid w:val="00AD14BE"/>
    <w:rsid w:val="00AD5835"/>
    <w:rsid w:val="00AE1293"/>
    <w:rsid w:val="00AF6BD1"/>
    <w:rsid w:val="00B00AA1"/>
    <w:rsid w:val="00B0575B"/>
    <w:rsid w:val="00B05C6F"/>
    <w:rsid w:val="00B07DB1"/>
    <w:rsid w:val="00B12687"/>
    <w:rsid w:val="00B1540F"/>
    <w:rsid w:val="00B21F99"/>
    <w:rsid w:val="00B249B2"/>
    <w:rsid w:val="00B30D4A"/>
    <w:rsid w:val="00B32826"/>
    <w:rsid w:val="00B3748C"/>
    <w:rsid w:val="00B4171D"/>
    <w:rsid w:val="00B4718F"/>
    <w:rsid w:val="00B55D3D"/>
    <w:rsid w:val="00B55EAA"/>
    <w:rsid w:val="00B60A9E"/>
    <w:rsid w:val="00B630F5"/>
    <w:rsid w:val="00B666AE"/>
    <w:rsid w:val="00B7252F"/>
    <w:rsid w:val="00B73869"/>
    <w:rsid w:val="00B73F58"/>
    <w:rsid w:val="00B85C03"/>
    <w:rsid w:val="00B86D37"/>
    <w:rsid w:val="00B93E1B"/>
    <w:rsid w:val="00B95F5C"/>
    <w:rsid w:val="00BA02F8"/>
    <w:rsid w:val="00BA299C"/>
    <w:rsid w:val="00BA2FB3"/>
    <w:rsid w:val="00BA7ACC"/>
    <w:rsid w:val="00BA7BFD"/>
    <w:rsid w:val="00BB1E2E"/>
    <w:rsid w:val="00BB65C6"/>
    <w:rsid w:val="00BC62A4"/>
    <w:rsid w:val="00BC6EDF"/>
    <w:rsid w:val="00BD1D8D"/>
    <w:rsid w:val="00BE201E"/>
    <w:rsid w:val="00BE6DCB"/>
    <w:rsid w:val="00BF51F7"/>
    <w:rsid w:val="00BF522B"/>
    <w:rsid w:val="00BF7737"/>
    <w:rsid w:val="00C01D54"/>
    <w:rsid w:val="00C06F75"/>
    <w:rsid w:val="00C07244"/>
    <w:rsid w:val="00C16329"/>
    <w:rsid w:val="00C20C01"/>
    <w:rsid w:val="00C229E5"/>
    <w:rsid w:val="00C253E5"/>
    <w:rsid w:val="00C27C40"/>
    <w:rsid w:val="00C30CCF"/>
    <w:rsid w:val="00C3307B"/>
    <w:rsid w:val="00C33B1B"/>
    <w:rsid w:val="00C3443E"/>
    <w:rsid w:val="00C407D0"/>
    <w:rsid w:val="00C42A94"/>
    <w:rsid w:val="00C52906"/>
    <w:rsid w:val="00C63EC4"/>
    <w:rsid w:val="00C658A6"/>
    <w:rsid w:val="00C660AF"/>
    <w:rsid w:val="00C71563"/>
    <w:rsid w:val="00C83B8A"/>
    <w:rsid w:val="00C83D3E"/>
    <w:rsid w:val="00C878BD"/>
    <w:rsid w:val="00C90E14"/>
    <w:rsid w:val="00C925A3"/>
    <w:rsid w:val="00CA47A6"/>
    <w:rsid w:val="00CB2B7C"/>
    <w:rsid w:val="00CC49DB"/>
    <w:rsid w:val="00CD2B57"/>
    <w:rsid w:val="00CD3402"/>
    <w:rsid w:val="00CD4BA3"/>
    <w:rsid w:val="00CE7002"/>
    <w:rsid w:val="00CF43EF"/>
    <w:rsid w:val="00CF5325"/>
    <w:rsid w:val="00D10925"/>
    <w:rsid w:val="00D1161D"/>
    <w:rsid w:val="00D11B10"/>
    <w:rsid w:val="00D12585"/>
    <w:rsid w:val="00D12A25"/>
    <w:rsid w:val="00D1348A"/>
    <w:rsid w:val="00D20AD6"/>
    <w:rsid w:val="00D2630F"/>
    <w:rsid w:val="00D270F8"/>
    <w:rsid w:val="00D3266C"/>
    <w:rsid w:val="00D35B94"/>
    <w:rsid w:val="00D36CD0"/>
    <w:rsid w:val="00D46065"/>
    <w:rsid w:val="00D56147"/>
    <w:rsid w:val="00D615AB"/>
    <w:rsid w:val="00D63E08"/>
    <w:rsid w:val="00D666D8"/>
    <w:rsid w:val="00D7266A"/>
    <w:rsid w:val="00D73159"/>
    <w:rsid w:val="00D85F76"/>
    <w:rsid w:val="00D87206"/>
    <w:rsid w:val="00D872B4"/>
    <w:rsid w:val="00D90FBA"/>
    <w:rsid w:val="00D913B3"/>
    <w:rsid w:val="00D9508C"/>
    <w:rsid w:val="00DA0A44"/>
    <w:rsid w:val="00DA42BB"/>
    <w:rsid w:val="00DA65E8"/>
    <w:rsid w:val="00DB302C"/>
    <w:rsid w:val="00DB7334"/>
    <w:rsid w:val="00DC05DB"/>
    <w:rsid w:val="00DC0921"/>
    <w:rsid w:val="00DC1DE6"/>
    <w:rsid w:val="00DC48AF"/>
    <w:rsid w:val="00DC6A1D"/>
    <w:rsid w:val="00DD570F"/>
    <w:rsid w:val="00DE11C0"/>
    <w:rsid w:val="00DF19FA"/>
    <w:rsid w:val="00E060DF"/>
    <w:rsid w:val="00E2276C"/>
    <w:rsid w:val="00E5373E"/>
    <w:rsid w:val="00E63D87"/>
    <w:rsid w:val="00E67769"/>
    <w:rsid w:val="00E738C2"/>
    <w:rsid w:val="00E77EAC"/>
    <w:rsid w:val="00EB3799"/>
    <w:rsid w:val="00EB3AA9"/>
    <w:rsid w:val="00ED0E75"/>
    <w:rsid w:val="00ED34F9"/>
    <w:rsid w:val="00ED5D6D"/>
    <w:rsid w:val="00EF11AE"/>
    <w:rsid w:val="00EF5BC1"/>
    <w:rsid w:val="00F02183"/>
    <w:rsid w:val="00F035A5"/>
    <w:rsid w:val="00F061F0"/>
    <w:rsid w:val="00F23953"/>
    <w:rsid w:val="00F24ABE"/>
    <w:rsid w:val="00F26D88"/>
    <w:rsid w:val="00F45BC3"/>
    <w:rsid w:val="00F52FD4"/>
    <w:rsid w:val="00F64653"/>
    <w:rsid w:val="00F65CDF"/>
    <w:rsid w:val="00F74D21"/>
    <w:rsid w:val="00F77B8B"/>
    <w:rsid w:val="00F827DA"/>
    <w:rsid w:val="00F84911"/>
    <w:rsid w:val="00F87EF5"/>
    <w:rsid w:val="00FC421D"/>
    <w:rsid w:val="00FC5C6D"/>
    <w:rsid w:val="00FD126D"/>
    <w:rsid w:val="00FD73DA"/>
    <w:rsid w:val="00FD7640"/>
    <w:rsid w:val="00FE16C8"/>
    <w:rsid w:val="00FE36CA"/>
    <w:rsid w:val="00FE4248"/>
    <w:rsid w:val="00FE5123"/>
    <w:rsid w:val="00FE543E"/>
    <w:rsid w:val="00FF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4F962"/>
  <w15:docId w15:val="{2B95C43F-1F29-45A9-8DDE-CF233A7D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66"/>
  </w:style>
  <w:style w:type="paragraph" w:styleId="Heading1">
    <w:name w:val="heading 1"/>
    <w:basedOn w:val="Normal"/>
    <w:next w:val="Normal"/>
    <w:link w:val="Heading1Char"/>
    <w:uiPriority w:val="9"/>
    <w:qFormat/>
    <w:rsid w:val="005F6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D"/>
    <w:rPr>
      <w:color w:val="0000FF"/>
      <w:u w:val="single"/>
    </w:rPr>
  </w:style>
  <w:style w:type="character" w:styleId="FollowedHyperlink">
    <w:name w:val="FollowedHyperlink"/>
    <w:basedOn w:val="DefaultParagraphFont"/>
    <w:uiPriority w:val="99"/>
    <w:semiHidden/>
    <w:unhideWhenUsed/>
    <w:rsid w:val="0064601D"/>
    <w:rPr>
      <w:color w:val="800080"/>
      <w:u w:val="single"/>
    </w:rPr>
  </w:style>
  <w:style w:type="paragraph" w:customStyle="1" w:styleId="font5">
    <w:name w:val="font5"/>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font6">
    <w:name w:val="font6"/>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xl63">
    <w:name w:val="xl63"/>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4">
    <w:name w:val="xl6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5">
    <w:name w:val="xl6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66">
    <w:name w:val="xl6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67">
    <w:name w:val="xl67"/>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68">
    <w:name w:val="xl68"/>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Narrow" w:eastAsia="Times New Roman" w:hAnsi="Arial Narrow" w:cs="Times New Roman"/>
      <w:sz w:val="24"/>
      <w:szCs w:val="24"/>
      <w:lang w:eastAsia="en-NZ"/>
    </w:rPr>
  </w:style>
  <w:style w:type="paragraph" w:customStyle="1" w:styleId="xl69">
    <w:name w:val="xl69"/>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70">
    <w:name w:val="xl70"/>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71">
    <w:name w:val="xl71"/>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2">
    <w:name w:val="xl72"/>
    <w:basedOn w:val="Normal"/>
    <w:rsid w:val="0064601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Arial Narrow" w:eastAsia="Times New Roman" w:hAnsi="Arial Narrow" w:cs="Times New Roman"/>
      <w:sz w:val="24"/>
      <w:szCs w:val="24"/>
      <w:lang w:eastAsia="en-NZ"/>
    </w:rPr>
  </w:style>
  <w:style w:type="paragraph" w:customStyle="1" w:styleId="xl73">
    <w:name w:val="xl73"/>
    <w:basedOn w:val="Normal"/>
    <w:rsid w:val="006460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Narrow" w:eastAsia="Times New Roman" w:hAnsi="Arial Narrow" w:cs="Times New Roman"/>
      <w:sz w:val="24"/>
      <w:szCs w:val="24"/>
      <w:lang w:eastAsia="en-NZ"/>
    </w:rPr>
  </w:style>
  <w:style w:type="paragraph" w:customStyle="1" w:styleId="xl74">
    <w:name w:val="xl7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75">
    <w:name w:val="xl7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6">
    <w:name w:val="xl7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7">
    <w:name w:val="xl77"/>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customStyle="1" w:styleId="xl78">
    <w:name w:val="xl78"/>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styleId="BalloonText">
    <w:name w:val="Balloon Text"/>
    <w:basedOn w:val="Normal"/>
    <w:link w:val="BalloonTextChar"/>
    <w:uiPriority w:val="99"/>
    <w:semiHidden/>
    <w:unhideWhenUsed/>
    <w:rsid w:val="00AD583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D5835"/>
    <w:rPr>
      <w:rFonts w:cs="Tahoma"/>
      <w:sz w:val="16"/>
      <w:szCs w:val="16"/>
    </w:rPr>
  </w:style>
  <w:style w:type="paragraph" w:styleId="ListParagraph">
    <w:name w:val="List Paragraph"/>
    <w:basedOn w:val="Normal"/>
    <w:uiPriority w:val="34"/>
    <w:qFormat/>
    <w:rsid w:val="00C3307B"/>
    <w:pPr>
      <w:ind w:left="720"/>
      <w:contextualSpacing/>
    </w:pPr>
  </w:style>
  <w:style w:type="table" w:styleId="TableGrid">
    <w:name w:val="Table Grid"/>
    <w:basedOn w:val="TableNormal"/>
    <w:uiPriority w:val="59"/>
    <w:rsid w:val="007365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12D"/>
    <w:pPr>
      <w:spacing w:after="0" w:line="240" w:lineRule="auto"/>
    </w:pPr>
  </w:style>
  <w:style w:type="paragraph" w:styleId="Header">
    <w:name w:val="header"/>
    <w:basedOn w:val="Normal"/>
    <w:link w:val="HeaderChar"/>
    <w:uiPriority w:val="99"/>
    <w:unhideWhenUsed/>
    <w:rsid w:val="006B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B7"/>
  </w:style>
  <w:style w:type="paragraph" w:styleId="Footer">
    <w:name w:val="footer"/>
    <w:basedOn w:val="Normal"/>
    <w:link w:val="FooterChar"/>
    <w:uiPriority w:val="99"/>
    <w:unhideWhenUsed/>
    <w:rsid w:val="006B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B7"/>
  </w:style>
  <w:style w:type="paragraph" w:styleId="BodyText">
    <w:name w:val="Body Text"/>
    <w:basedOn w:val="Normal"/>
    <w:link w:val="BodyTextChar"/>
    <w:uiPriority w:val="1"/>
    <w:qFormat/>
    <w:rsid w:val="004A01F3"/>
    <w:pPr>
      <w:widowControl w:val="0"/>
      <w:autoSpaceDE w:val="0"/>
      <w:autoSpaceDN w:val="0"/>
      <w:spacing w:after="0" w:line="240" w:lineRule="auto"/>
      <w:ind w:left="111"/>
    </w:pPr>
    <w:rPr>
      <w:rFonts w:ascii="Arial" w:eastAsia="Arial" w:hAnsi="Arial" w:cs="Arial"/>
      <w:sz w:val="23"/>
      <w:szCs w:val="23"/>
      <w:lang w:eastAsia="en-NZ" w:bidi="en-NZ"/>
    </w:rPr>
  </w:style>
  <w:style w:type="character" w:customStyle="1" w:styleId="BodyTextChar">
    <w:name w:val="Body Text Char"/>
    <w:basedOn w:val="DefaultParagraphFont"/>
    <w:link w:val="BodyText"/>
    <w:uiPriority w:val="1"/>
    <w:rsid w:val="004A01F3"/>
    <w:rPr>
      <w:rFonts w:ascii="Arial" w:eastAsia="Arial" w:hAnsi="Arial" w:cs="Arial"/>
      <w:sz w:val="23"/>
      <w:szCs w:val="23"/>
      <w:lang w:eastAsia="en-NZ" w:bidi="en-NZ"/>
    </w:rPr>
  </w:style>
  <w:style w:type="character" w:styleId="UnresolvedMention">
    <w:name w:val="Unresolved Mention"/>
    <w:basedOn w:val="DefaultParagraphFont"/>
    <w:uiPriority w:val="99"/>
    <w:semiHidden/>
    <w:unhideWhenUsed/>
    <w:rsid w:val="005175B6"/>
    <w:rPr>
      <w:color w:val="605E5C"/>
      <w:shd w:val="clear" w:color="auto" w:fill="E1DFDD"/>
    </w:rPr>
  </w:style>
  <w:style w:type="character" w:customStyle="1" w:styleId="Heading1Char">
    <w:name w:val="Heading 1 Char"/>
    <w:basedOn w:val="DefaultParagraphFont"/>
    <w:link w:val="Heading1"/>
    <w:uiPriority w:val="9"/>
    <w:rsid w:val="005F650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F650A"/>
    <w:pPr>
      <w:spacing w:line="259" w:lineRule="auto"/>
      <w:outlineLvl w:val="9"/>
    </w:pPr>
    <w:rPr>
      <w:lang w:val="en-US"/>
    </w:rPr>
  </w:style>
  <w:style w:type="paragraph" w:styleId="TOC1">
    <w:name w:val="toc 1"/>
    <w:basedOn w:val="Normal"/>
    <w:next w:val="Normal"/>
    <w:autoRedefine/>
    <w:uiPriority w:val="39"/>
    <w:unhideWhenUsed/>
    <w:rsid w:val="005F650A"/>
    <w:pPr>
      <w:spacing w:after="100"/>
    </w:pPr>
  </w:style>
  <w:style w:type="paragraph" w:customStyle="1" w:styleId="Default">
    <w:name w:val="Default"/>
    <w:basedOn w:val="Normal"/>
    <w:rsid w:val="00E060DF"/>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D4BA3"/>
    <w:rPr>
      <w:b/>
      <w:bCs/>
    </w:rPr>
  </w:style>
  <w:style w:type="paragraph" w:styleId="NormalWeb">
    <w:name w:val="Normal (Web)"/>
    <w:basedOn w:val="Normal"/>
    <w:uiPriority w:val="99"/>
    <w:semiHidden/>
    <w:unhideWhenUsed/>
    <w:rsid w:val="00CD4BA3"/>
    <w:pPr>
      <w:spacing w:after="360"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3222">
      <w:bodyDiv w:val="1"/>
      <w:marLeft w:val="0"/>
      <w:marRight w:val="0"/>
      <w:marTop w:val="0"/>
      <w:marBottom w:val="0"/>
      <w:divBdr>
        <w:top w:val="none" w:sz="0" w:space="0" w:color="auto"/>
        <w:left w:val="none" w:sz="0" w:space="0" w:color="auto"/>
        <w:bottom w:val="none" w:sz="0" w:space="0" w:color="auto"/>
        <w:right w:val="none" w:sz="0" w:space="0" w:color="auto"/>
      </w:divBdr>
    </w:div>
    <w:div w:id="419328172">
      <w:bodyDiv w:val="1"/>
      <w:marLeft w:val="0"/>
      <w:marRight w:val="0"/>
      <w:marTop w:val="0"/>
      <w:marBottom w:val="0"/>
      <w:divBdr>
        <w:top w:val="none" w:sz="0" w:space="0" w:color="auto"/>
        <w:left w:val="none" w:sz="0" w:space="0" w:color="auto"/>
        <w:bottom w:val="none" w:sz="0" w:space="0" w:color="auto"/>
        <w:right w:val="none" w:sz="0" w:space="0" w:color="auto"/>
      </w:divBdr>
    </w:div>
    <w:div w:id="451562349">
      <w:bodyDiv w:val="1"/>
      <w:marLeft w:val="0"/>
      <w:marRight w:val="0"/>
      <w:marTop w:val="0"/>
      <w:marBottom w:val="0"/>
      <w:divBdr>
        <w:top w:val="none" w:sz="0" w:space="0" w:color="auto"/>
        <w:left w:val="none" w:sz="0" w:space="0" w:color="auto"/>
        <w:bottom w:val="none" w:sz="0" w:space="0" w:color="auto"/>
        <w:right w:val="none" w:sz="0" w:space="0" w:color="auto"/>
      </w:divBdr>
    </w:div>
    <w:div w:id="455488823">
      <w:bodyDiv w:val="1"/>
      <w:marLeft w:val="0"/>
      <w:marRight w:val="0"/>
      <w:marTop w:val="0"/>
      <w:marBottom w:val="0"/>
      <w:divBdr>
        <w:top w:val="none" w:sz="0" w:space="0" w:color="auto"/>
        <w:left w:val="none" w:sz="0" w:space="0" w:color="auto"/>
        <w:bottom w:val="none" w:sz="0" w:space="0" w:color="auto"/>
        <w:right w:val="none" w:sz="0" w:space="0" w:color="auto"/>
      </w:divBdr>
    </w:div>
    <w:div w:id="617176197">
      <w:bodyDiv w:val="1"/>
      <w:marLeft w:val="0"/>
      <w:marRight w:val="0"/>
      <w:marTop w:val="0"/>
      <w:marBottom w:val="0"/>
      <w:divBdr>
        <w:top w:val="none" w:sz="0" w:space="0" w:color="auto"/>
        <w:left w:val="none" w:sz="0" w:space="0" w:color="auto"/>
        <w:bottom w:val="none" w:sz="0" w:space="0" w:color="auto"/>
        <w:right w:val="none" w:sz="0" w:space="0" w:color="auto"/>
      </w:divBdr>
    </w:div>
    <w:div w:id="769547947">
      <w:bodyDiv w:val="1"/>
      <w:marLeft w:val="0"/>
      <w:marRight w:val="0"/>
      <w:marTop w:val="0"/>
      <w:marBottom w:val="0"/>
      <w:divBdr>
        <w:top w:val="none" w:sz="0" w:space="0" w:color="auto"/>
        <w:left w:val="none" w:sz="0" w:space="0" w:color="auto"/>
        <w:bottom w:val="none" w:sz="0" w:space="0" w:color="auto"/>
        <w:right w:val="none" w:sz="0" w:space="0" w:color="auto"/>
      </w:divBdr>
    </w:div>
    <w:div w:id="1286548588">
      <w:bodyDiv w:val="1"/>
      <w:marLeft w:val="0"/>
      <w:marRight w:val="0"/>
      <w:marTop w:val="0"/>
      <w:marBottom w:val="0"/>
      <w:divBdr>
        <w:top w:val="none" w:sz="0" w:space="0" w:color="auto"/>
        <w:left w:val="none" w:sz="0" w:space="0" w:color="auto"/>
        <w:bottom w:val="none" w:sz="0" w:space="0" w:color="auto"/>
        <w:right w:val="none" w:sz="0" w:space="0" w:color="auto"/>
      </w:divBdr>
    </w:div>
    <w:div w:id="1532065039">
      <w:bodyDiv w:val="1"/>
      <w:marLeft w:val="0"/>
      <w:marRight w:val="0"/>
      <w:marTop w:val="0"/>
      <w:marBottom w:val="0"/>
      <w:divBdr>
        <w:top w:val="none" w:sz="0" w:space="0" w:color="auto"/>
        <w:left w:val="none" w:sz="0" w:space="0" w:color="auto"/>
        <w:bottom w:val="none" w:sz="0" w:space="0" w:color="auto"/>
        <w:right w:val="none" w:sz="0" w:space="0" w:color="auto"/>
      </w:divBdr>
    </w:div>
    <w:div w:id="1590886444">
      <w:bodyDiv w:val="1"/>
      <w:marLeft w:val="0"/>
      <w:marRight w:val="0"/>
      <w:marTop w:val="0"/>
      <w:marBottom w:val="0"/>
      <w:divBdr>
        <w:top w:val="none" w:sz="0" w:space="0" w:color="auto"/>
        <w:left w:val="none" w:sz="0" w:space="0" w:color="auto"/>
        <w:bottom w:val="none" w:sz="0" w:space="0" w:color="auto"/>
        <w:right w:val="none" w:sz="0" w:space="0" w:color="auto"/>
      </w:divBdr>
    </w:div>
    <w:div w:id="1653220976">
      <w:bodyDiv w:val="1"/>
      <w:marLeft w:val="0"/>
      <w:marRight w:val="0"/>
      <w:marTop w:val="0"/>
      <w:marBottom w:val="0"/>
      <w:divBdr>
        <w:top w:val="none" w:sz="0" w:space="0" w:color="auto"/>
        <w:left w:val="none" w:sz="0" w:space="0" w:color="auto"/>
        <w:bottom w:val="none" w:sz="0" w:space="0" w:color="auto"/>
        <w:right w:val="none" w:sz="0" w:space="0" w:color="auto"/>
      </w:divBdr>
    </w:div>
    <w:div w:id="1886258187">
      <w:bodyDiv w:val="1"/>
      <w:marLeft w:val="0"/>
      <w:marRight w:val="0"/>
      <w:marTop w:val="0"/>
      <w:marBottom w:val="0"/>
      <w:divBdr>
        <w:top w:val="none" w:sz="0" w:space="0" w:color="auto"/>
        <w:left w:val="none" w:sz="0" w:space="0" w:color="auto"/>
        <w:bottom w:val="none" w:sz="0" w:space="0" w:color="auto"/>
        <w:right w:val="none" w:sz="0" w:space="0" w:color="auto"/>
      </w:divBdr>
    </w:div>
    <w:div w:id="1922982146">
      <w:bodyDiv w:val="1"/>
      <w:marLeft w:val="0"/>
      <w:marRight w:val="0"/>
      <w:marTop w:val="0"/>
      <w:marBottom w:val="0"/>
      <w:divBdr>
        <w:top w:val="none" w:sz="0" w:space="0" w:color="auto"/>
        <w:left w:val="none" w:sz="0" w:space="0" w:color="auto"/>
        <w:bottom w:val="none" w:sz="0" w:space="0" w:color="auto"/>
        <w:right w:val="none" w:sz="0" w:space="0" w:color="auto"/>
      </w:divBdr>
      <w:divsChild>
        <w:div w:id="1923710564">
          <w:marLeft w:val="0"/>
          <w:marRight w:val="0"/>
          <w:marTop w:val="0"/>
          <w:marBottom w:val="0"/>
          <w:divBdr>
            <w:top w:val="none" w:sz="0" w:space="0" w:color="auto"/>
            <w:left w:val="none" w:sz="0" w:space="0" w:color="auto"/>
            <w:bottom w:val="none" w:sz="0" w:space="0" w:color="auto"/>
            <w:right w:val="none" w:sz="0" w:space="0" w:color="auto"/>
          </w:divBdr>
          <w:divsChild>
            <w:div w:id="1711804500">
              <w:marLeft w:val="-225"/>
              <w:marRight w:val="-225"/>
              <w:marTop w:val="0"/>
              <w:marBottom w:val="0"/>
              <w:divBdr>
                <w:top w:val="none" w:sz="0" w:space="0" w:color="auto"/>
                <w:left w:val="none" w:sz="0" w:space="0" w:color="auto"/>
                <w:bottom w:val="none" w:sz="0" w:space="0" w:color="auto"/>
                <w:right w:val="none" w:sz="0" w:space="0" w:color="auto"/>
              </w:divBdr>
              <w:divsChild>
                <w:div w:id="1880436368">
                  <w:marLeft w:val="0"/>
                  <w:marRight w:val="0"/>
                  <w:marTop w:val="0"/>
                  <w:marBottom w:val="0"/>
                  <w:divBdr>
                    <w:top w:val="none" w:sz="0" w:space="0" w:color="auto"/>
                    <w:left w:val="none" w:sz="0" w:space="0" w:color="auto"/>
                    <w:bottom w:val="none" w:sz="0" w:space="0" w:color="auto"/>
                    <w:right w:val="none" w:sz="0" w:space="0" w:color="auto"/>
                  </w:divBdr>
                  <w:divsChild>
                    <w:div w:id="876506746">
                      <w:marLeft w:val="0"/>
                      <w:marRight w:val="0"/>
                      <w:marTop w:val="0"/>
                      <w:marBottom w:val="0"/>
                      <w:divBdr>
                        <w:top w:val="none" w:sz="0" w:space="0" w:color="auto"/>
                        <w:left w:val="none" w:sz="0" w:space="0" w:color="auto"/>
                        <w:bottom w:val="none" w:sz="0" w:space="0" w:color="auto"/>
                        <w:right w:val="none" w:sz="0" w:space="0" w:color="auto"/>
                      </w:divBdr>
                      <w:divsChild>
                        <w:div w:id="1108962827">
                          <w:marLeft w:val="0"/>
                          <w:marRight w:val="0"/>
                          <w:marTop w:val="0"/>
                          <w:marBottom w:val="0"/>
                          <w:divBdr>
                            <w:top w:val="none" w:sz="0" w:space="0" w:color="auto"/>
                            <w:left w:val="none" w:sz="0" w:space="0" w:color="auto"/>
                            <w:bottom w:val="none" w:sz="0" w:space="0" w:color="auto"/>
                            <w:right w:val="none" w:sz="0" w:space="0" w:color="auto"/>
                          </w:divBdr>
                          <w:divsChild>
                            <w:div w:id="7170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roddc01/personal%20folders/Daiman.Smith/2017-18%20Annual%20Review/Govt%20Response%20to%20State%20Sector%20Productivity%20Inquiry%20Report" TargetMode="External"/><Relationship Id="rId18" Type="http://schemas.openxmlformats.org/officeDocument/2006/relationships/hyperlink" Target="https://www.youtube.com/watch?v=uixL-IlaDHg&amp;t=46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nterest.co.nz/opinion/98536/productivity-commissions-tim-maddock-and%C2%A0terry-genet-analyse-nzs-labour-market-ahead" TargetMode="External"/><Relationship Id="rId2" Type="http://schemas.openxmlformats.org/officeDocument/2006/relationships/customXml" Target="../customXml/item2.xml"/><Relationship Id="rId16" Type="http://schemas.openxmlformats.org/officeDocument/2006/relationships/hyperlink" Target="file://proddc01/personal%20folders/Daiman.Smith/2017-18%20Annual%20Review/2017/18%20Annual%20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proddc01/personal%20folders/Daiman.Smith/2017-18%20Annual%20Review/2017/18%20Annual%20Repor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roddc01/personal%20folders/Daiman.Smith/2017-18%20Annual%20Review/State%20Sector%20Productivity%20Inquiry%20Web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4f9c820c-e7e2-444d-97ee-45f2b3485c1d">Accountability</Function>
    <Project xmlns="4f9c820c-e7e2-444d-97ee-45f2b3485c1d">NA</Project>
    <CategoryValue xmlns="4f9c820c-e7e2-444d-97ee-45f2b3485c1d">NA</CategoryValue>
    <DocumentType xmlns="4f9c820c-e7e2-444d-97ee-45f2b3485c1d">DATA, Source Data</DocumentType>
    <FunctionGroup xmlns="4f9c820c-e7e2-444d-97ee-45f2b3485c1d">NA</FunctionGroup>
    <Activity xmlns="4f9c820c-e7e2-444d-97ee-45f2b3485c1d">Annual Review-Financial Review</Activity>
    <Narrative xmlns="4f9c820c-e7e2-444d-97ee-45f2b3485c1d" xsi:nil="true"/>
    <CategoryName xmlns="4f9c820c-e7e2-444d-97ee-45f2b3485c1d">2017-18 Financial Review</CategoryName>
    <Case xmlns="4f9c820c-e7e2-444d-97ee-45f2b3485c1d">NA</Case>
    <Subactivity xmlns="4f9c820c-e7e2-444d-97ee-45f2b3485c1d">NA</Subactivity>
    <_dlc_DocId xmlns="c77f55b4-6b9e-4f21-a0d6-1b8b89b467e0">PRODCOMM-316614610-5255</_dlc_DocId>
    <_dlc_DocIdUrl xmlns="c77f55b4-6b9e-4f21-a0d6-1b8b89b467e0">
      <Url>https://nzprod.sharepoint.com/sites/Accountability/_layouts/15/DocIdRedir.aspx?ID=PRODCOMM-316614610-5255</Url>
      <Description>PRODCOMM-316614610-5255</Description>
    </_dlc_DocIdUrl>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Team xmlns="c91a514c-9034-4fa3-897a-8352025b26ed">Accountability</Team>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PRAText3 xmlns="4f9c820c-e7e2-444d-97ee-45f2b3485c1d" xsi:nil="true"/>
    <HarmonieUIHidden xmlns="15ffb055-6eb4-45a1-bc20-bf2ac0d420da" xsi:nil="true"/>
    <Year xmlns="c91a514c-9034-4fa3-897a-8352025b26ed">NA</Year>
    <PRADateTrigger xmlns="4f9c820c-e7e2-444d-97ee-45f2b3485c1d" xsi:nil="true"/>
    <PRAText2 xmlns="4f9c820c-e7e2-444d-97ee-45f2b3485c1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xcel" ma:contentTypeID="0x010100A282AAE4748A8A4CA0BDF959BF4C830C00C3E057DEA1D364478F52CDDD306743C7" ma:contentTypeVersion="36" ma:contentTypeDescription="Create a new document." ma:contentTypeScope="" ma:versionID="133798650d7d8f6f1932e3820b7d3a81">
  <xsd:schema xmlns:xsd="http://www.w3.org/2001/XMLSchema" xmlns:xs="http://www.w3.org/2001/XMLSchema" xmlns:p="http://schemas.microsoft.com/office/2006/metadata/properties" xmlns:ns2="c77f55b4-6b9e-4f21-a0d6-1b8b89b467e0" xmlns:ns3="4f9c820c-e7e2-444d-97ee-45f2b3485c1d" xmlns:ns4="15ffb055-6eb4-45a1-bc20-bf2ac0d420da" xmlns:ns5="725c79e5-42ce-4aa0-ac78-b6418001f0d2" xmlns:ns6="c91a514c-9034-4fa3-897a-8352025b26ed" targetNamespace="http://schemas.microsoft.com/office/2006/metadata/properties" ma:root="true" ma:fieldsID="6a68325e0ce2e89ec995f0de159dc514" ns2:_="" ns3:_="" ns4:_="" ns5:_="" ns6:_="">
    <xsd:import namespace="c77f55b4-6b9e-4f21-a0d6-1b8b89b467e0"/>
    <xsd:import namespace="4f9c820c-e7e2-444d-97ee-45f2b3485c1d"/>
    <xsd:import namespace="15ffb055-6eb4-45a1-bc20-bf2ac0d420da"/>
    <xsd:import namespace="725c79e5-42ce-4aa0-ac78-b6418001f0d2"/>
    <xsd:import namespace="c91a514c-9034-4fa3-897a-8352025b26e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4:HarmonieUI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55b4-6b9e-4f21-a0d6-1b8b89b46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Accountability"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HarmonieUIHidden" ma:index="43"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Accountability"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599BB-BE77-4BC7-B920-CEF41A8ED15C}">
  <ds:schemaRefs>
    <ds:schemaRef ds:uri="http://purl.org/dc/elements/1.1/"/>
    <ds:schemaRef ds:uri="http://www.w3.org/XML/1998/namespace"/>
    <ds:schemaRef ds:uri="e21cbe00-2104-4159-b9b9-bd54555d1bf2"/>
    <ds:schemaRef ds:uri="325f735b-f008-4ff0-b69d-1c194293ed88"/>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4f9c820c-e7e2-444d-97ee-45f2b3485c1d"/>
    <ds:schemaRef ds:uri="c77f55b4-6b9e-4f21-a0d6-1b8b89b467e0"/>
    <ds:schemaRef ds:uri="15ffb055-6eb4-45a1-bc20-bf2ac0d420da"/>
    <ds:schemaRef ds:uri="c91a514c-9034-4fa3-897a-8352025b26ed"/>
    <ds:schemaRef ds:uri="725c79e5-42ce-4aa0-ac78-b6418001f0d2"/>
  </ds:schemaRefs>
</ds:datastoreItem>
</file>

<file path=customXml/itemProps2.xml><?xml version="1.0" encoding="utf-8"?>
<ds:datastoreItem xmlns:ds="http://schemas.openxmlformats.org/officeDocument/2006/customXml" ds:itemID="{3EE6283B-265F-49B9-AFC4-59335F6B5149}">
  <ds:schemaRefs>
    <ds:schemaRef ds:uri="http://schemas.microsoft.com/sharepoint/events"/>
  </ds:schemaRefs>
</ds:datastoreItem>
</file>

<file path=customXml/itemProps3.xml><?xml version="1.0" encoding="utf-8"?>
<ds:datastoreItem xmlns:ds="http://schemas.openxmlformats.org/officeDocument/2006/customXml" ds:itemID="{4B71DF97-7391-410C-B107-1BDFF00B713F}">
  <ds:schemaRefs>
    <ds:schemaRef ds:uri="http://schemas.openxmlformats.org/officeDocument/2006/bibliography"/>
  </ds:schemaRefs>
</ds:datastoreItem>
</file>

<file path=customXml/itemProps4.xml><?xml version="1.0" encoding="utf-8"?>
<ds:datastoreItem xmlns:ds="http://schemas.openxmlformats.org/officeDocument/2006/customXml" ds:itemID="{4E9C9FBC-B59A-4E04-B024-A671B757C13B}">
  <ds:schemaRefs>
    <ds:schemaRef ds:uri="http://schemas.microsoft.com/sharepoint/v3/contenttype/forms"/>
  </ds:schemaRefs>
</ds:datastoreItem>
</file>

<file path=customXml/itemProps5.xml><?xml version="1.0" encoding="utf-8"?>
<ds:datastoreItem xmlns:ds="http://schemas.openxmlformats.org/officeDocument/2006/customXml" ds:itemID="{9628AFE6-44D3-479E-9866-8C70C2E10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55b4-6b9e-4f21-a0d6-1b8b89b467e0"/>
    <ds:schemaRef ds:uri="4f9c820c-e7e2-444d-97ee-45f2b3485c1d"/>
    <ds:schemaRef ds:uri="15ffb055-6eb4-45a1-bc20-bf2ac0d420da"/>
    <ds:schemaRef ds:uri="725c79e5-42ce-4aa0-ac78-b6418001f0d2"/>
    <ds:schemaRef ds:uri="c91a514c-9034-4fa3-897a-8352025b2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2015-16 Commerce Commission Annual Review Hearing Questions</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Commerce Commission Annual Review Hearing Questions</dc:title>
  <dc:creator>Virginia Wright</dc:creator>
  <cp:lastModifiedBy>Daiman Smith</cp:lastModifiedBy>
  <cp:revision>2</cp:revision>
  <cp:lastPrinted>2018-11-19T00:08:00Z</cp:lastPrinted>
  <dcterms:created xsi:type="dcterms:W3CDTF">2021-08-27T03:42:00Z</dcterms:created>
  <dcterms:modified xsi:type="dcterms:W3CDTF">2021-08-27T03:42:00Z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0x010100A282AAE4748A8A4CA0BDF959BF4C830C00C3E057DEA1D364478F52CDDD306743C7</vt:lpwstr>
  </property>
  <property fmtid="{D5CDD505-2E9C-101B-9397-08002B2CF9AE}" pid="3" name="_dlc_DocIdItemGuid">
    <vt:lpwstr>01b9cfa7-2011-4c01-8062-10f1134a2dd5</vt:lpwstr>
  </property>
  <property fmtid="{D5CDD505-2E9C-101B-9397-08002B2CF9AE}" pid="4" name="_ModerationStatus">
    <vt:lpwstr>0</vt:lpwstr>
  </property>
</Properties>
</file>