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37"/>
        <w:gridCol w:w="3481"/>
      </w:tblGrid>
      <w:tr w:rsidR="005F0F6F" w14:paraId="2F28B72C" w14:textId="77777777" w:rsidTr="00297F98">
        <w:trPr>
          <w:trHeight w:val="643"/>
        </w:trPr>
        <w:tc>
          <w:tcPr>
            <w:tcW w:w="56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AB84130" w14:textId="77777777" w:rsidR="005F0F6F" w:rsidRDefault="005F0F6F" w:rsidP="00297F98">
            <w:pPr>
              <w:spacing w:after="12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CORPORATE &amp; aDMINISTRATIVE POLICY SERIES</w:t>
            </w:r>
          </w:p>
          <w:p w14:paraId="79A996D1" w14:textId="6F4F2D8F" w:rsidR="005F0F6F" w:rsidRPr="005F0F6F" w:rsidRDefault="005F0F6F" w:rsidP="005F0F6F">
            <w:pPr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5F0F6F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2.3. | ACCEPTING GIFTS &amp; HOSPITALITY</w:t>
            </w:r>
          </w:p>
        </w:tc>
        <w:tc>
          <w:tcPr>
            <w:tcW w:w="34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A0BBB98" w14:textId="77777777" w:rsidR="005F0F6F" w:rsidRDefault="005F0F6F" w:rsidP="00297F98">
            <w:pPr>
              <w:jc w:val="center"/>
              <w:rPr>
                <w:rFonts w:ascii="Arial Narrow" w:hAnsi="Arial Narrow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="Arial Narrow" w:hAnsi="Arial Narrow" w:cstheme="minorHAnsi"/>
                <w:noProof/>
                <w:sz w:val="22"/>
                <w:szCs w:val="22"/>
                <w:lang w:val="en-NZ" w:eastAsia="en-NZ"/>
              </w:rPr>
              <w:drawing>
                <wp:inline distT="0" distB="0" distL="0" distR="0" wp14:anchorId="4807DDB0" wp14:editId="70D08672">
                  <wp:extent cx="2000885" cy="1158875"/>
                  <wp:effectExtent l="0" t="0" r="0" b="3175"/>
                  <wp:docPr id="1" name="Picture 1" descr="NZP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P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5DAAC" w14:textId="77777777" w:rsidR="00381EEF" w:rsidRPr="00381EEF" w:rsidRDefault="00381EEF" w:rsidP="005F0F6F">
      <w:pPr>
        <w:spacing w:before="360" w:after="24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 w:rsidRPr="00381EEF">
        <w:rPr>
          <w:rFonts w:ascii="Calibri" w:hAnsi="Calibri"/>
          <w:b/>
          <w:bCs/>
          <w:color w:val="31849B"/>
          <w:sz w:val="24"/>
          <w:szCs w:val="24"/>
          <w:lang w:val="en-AU"/>
        </w:rPr>
        <w:t>Purpose</w:t>
      </w:r>
    </w:p>
    <w:p w14:paraId="2255DAAD" w14:textId="77777777" w:rsidR="0049362C" w:rsidRPr="005F0F6F" w:rsidRDefault="00337F34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NZ"/>
        </w:rPr>
        <w:t>To provide guidance on accepting gifts and invitations received in the course of work with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the Commission.</w:t>
      </w:r>
      <w:r w:rsidR="002242F1"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</w:p>
    <w:p w14:paraId="2255DAAE" w14:textId="77777777" w:rsidR="00E2027A" w:rsidRDefault="00E2027A" w:rsidP="008C1340">
      <w:pPr>
        <w:spacing w:after="20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>
        <w:rPr>
          <w:rFonts w:ascii="Calibri" w:hAnsi="Calibri"/>
          <w:b/>
          <w:bCs/>
          <w:color w:val="31849B"/>
          <w:sz w:val="24"/>
          <w:szCs w:val="24"/>
          <w:lang w:val="en-AU"/>
        </w:rPr>
        <w:t xml:space="preserve">Policy </w:t>
      </w:r>
      <w:r w:rsidR="0029675D">
        <w:rPr>
          <w:rFonts w:ascii="Calibri" w:hAnsi="Calibri"/>
          <w:b/>
          <w:bCs/>
          <w:color w:val="31849B"/>
          <w:sz w:val="24"/>
          <w:szCs w:val="24"/>
          <w:lang w:val="en-AU"/>
        </w:rPr>
        <w:t>o</w:t>
      </w:r>
      <w:r>
        <w:rPr>
          <w:rFonts w:ascii="Calibri" w:hAnsi="Calibri"/>
          <w:b/>
          <w:bCs/>
          <w:color w:val="31849B"/>
          <w:sz w:val="24"/>
          <w:szCs w:val="24"/>
          <w:lang w:val="en-AU"/>
        </w:rPr>
        <w:t>wner</w:t>
      </w:r>
    </w:p>
    <w:p w14:paraId="2255DAAF" w14:textId="77777777" w:rsidR="00E2027A" w:rsidRPr="005F0F6F" w:rsidRDefault="00E2027A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Th</w:t>
      </w:r>
      <w:r w:rsidR="00BF75EA" w:rsidRPr="005F0F6F">
        <w:rPr>
          <w:rFonts w:ascii="Calibri" w:hAnsi="Calibri"/>
          <w:bCs/>
          <w:sz w:val="21"/>
          <w:szCs w:val="21"/>
          <w:lang w:val="en-AU"/>
        </w:rPr>
        <w:t xml:space="preserve">e General Manager is the </w:t>
      </w:r>
      <w:r w:rsidR="00551820" w:rsidRPr="005F0F6F">
        <w:rPr>
          <w:rFonts w:ascii="Calibri" w:hAnsi="Calibri"/>
          <w:bCs/>
          <w:sz w:val="21"/>
          <w:szCs w:val="21"/>
          <w:lang w:val="en-AU"/>
        </w:rPr>
        <w:t>p</w:t>
      </w:r>
      <w:r w:rsidR="00BF75EA" w:rsidRPr="005F0F6F">
        <w:rPr>
          <w:rFonts w:ascii="Calibri" w:hAnsi="Calibri"/>
          <w:bCs/>
          <w:sz w:val="21"/>
          <w:szCs w:val="21"/>
          <w:lang w:val="en-AU"/>
        </w:rPr>
        <w:t xml:space="preserve">olicy </w:t>
      </w:r>
      <w:r w:rsidR="00551820" w:rsidRPr="005F0F6F">
        <w:rPr>
          <w:rFonts w:ascii="Calibri" w:hAnsi="Calibri"/>
          <w:bCs/>
          <w:sz w:val="21"/>
          <w:szCs w:val="21"/>
          <w:lang w:val="en-AU"/>
        </w:rPr>
        <w:t>o</w:t>
      </w:r>
      <w:r w:rsidR="00BF75EA" w:rsidRPr="005F0F6F">
        <w:rPr>
          <w:rFonts w:ascii="Calibri" w:hAnsi="Calibri"/>
          <w:bCs/>
          <w:sz w:val="21"/>
          <w:szCs w:val="21"/>
          <w:lang w:val="en-AU"/>
        </w:rPr>
        <w:t>wner, responsible for developing</w:t>
      </w:r>
      <w:r w:rsidR="00551820" w:rsidRPr="005F0F6F">
        <w:rPr>
          <w:rFonts w:ascii="Calibri" w:hAnsi="Calibri"/>
          <w:bCs/>
          <w:sz w:val="21"/>
          <w:szCs w:val="21"/>
          <w:lang w:val="en-AU"/>
        </w:rPr>
        <w:t>,</w:t>
      </w:r>
      <w:r w:rsidR="00BF75EA"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  <w:proofErr w:type="gramStart"/>
      <w:r w:rsidR="00BF75EA" w:rsidRPr="005F0F6F">
        <w:rPr>
          <w:rFonts w:ascii="Calibri" w:hAnsi="Calibri"/>
          <w:bCs/>
          <w:sz w:val="21"/>
          <w:szCs w:val="21"/>
          <w:lang w:val="en-AU"/>
        </w:rPr>
        <w:t>implementing</w:t>
      </w:r>
      <w:proofErr w:type="gramEnd"/>
      <w:r w:rsidR="00BF75EA" w:rsidRPr="005F0F6F">
        <w:rPr>
          <w:rFonts w:ascii="Calibri" w:hAnsi="Calibri"/>
          <w:bCs/>
          <w:sz w:val="21"/>
          <w:szCs w:val="21"/>
          <w:lang w:val="en-AU"/>
        </w:rPr>
        <w:t xml:space="preserve"> and reviewing the policy for approval by the Board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. </w:t>
      </w:r>
    </w:p>
    <w:p w14:paraId="2255DAB0" w14:textId="77777777" w:rsidR="00381EEF" w:rsidRDefault="00381EEF" w:rsidP="008C1340">
      <w:pPr>
        <w:spacing w:after="20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 w:rsidRPr="00381EEF">
        <w:rPr>
          <w:rFonts w:ascii="Calibri" w:hAnsi="Calibri"/>
          <w:b/>
          <w:bCs/>
          <w:color w:val="31849B"/>
          <w:sz w:val="24"/>
          <w:szCs w:val="24"/>
          <w:lang w:val="en-AU"/>
        </w:rPr>
        <w:t>Scope</w:t>
      </w:r>
    </w:p>
    <w:p w14:paraId="2255DAB1" w14:textId="77777777" w:rsidR="00337F34" w:rsidRPr="005F0F6F" w:rsidRDefault="00337F34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T</w:t>
      </w:r>
      <w:r w:rsidR="00686A16" w:rsidRPr="005F0F6F">
        <w:rPr>
          <w:rFonts w:ascii="Calibri" w:hAnsi="Calibri"/>
          <w:bCs/>
          <w:sz w:val="21"/>
          <w:szCs w:val="21"/>
          <w:lang w:val="en-AU"/>
        </w:rPr>
        <w:t>h</w:t>
      </w:r>
      <w:r w:rsidR="008B6928" w:rsidRPr="005F0F6F">
        <w:rPr>
          <w:rFonts w:ascii="Calibri" w:hAnsi="Calibri"/>
          <w:bCs/>
          <w:sz w:val="21"/>
          <w:szCs w:val="21"/>
          <w:lang w:val="en-AU"/>
        </w:rPr>
        <w:t xml:space="preserve">is policy applies to all gifts, invitation and hospitality offered or provided to staff and Board </w:t>
      </w:r>
      <w:r w:rsidR="006C23F3" w:rsidRPr="005F0F6F">
        <w:rPr>
          <w:rFonts w:ascii="Calibri" w:hAnsi="Calibri"/>
          <w:bCs/>
          <w:sz w:val="21"/>
          <w:szCs w:val="21"/>
          <w:lang w:val="en-AU"/>
        </w:rPr>
        <w:t>M</w:t>
      </w:r>
      <w:r w:rsidR="008B6928" w:rsidRPr="005F0F6F">
        <w:rPr>
          <w:rFonts w:ascii="Calibri" w:hAnsi="Calibri"/>
          <w:bCs/>
          <w:sz w:val="21"/>
          <w:szCs w:val="21"/>
          <w:lang w:val="en-AU"/>
        </w:rPr>
        <w:t>embers in the course of their work or while representing the Commission</w:t>
      </w:r>
      <w:r w:rsidR="006C23F3" w:rsidRPr="005F0F6F">
        <w:rPr>
          <w:rFonts w:ascii="Calibri" w:hAnsi="Calibri"/>
          <w:bCs/>
          <w:sz w:val="21"/>
          <w:szCs w:val="21"/>
          <w:lang w:val="en-AU"/>
        </w:rPr>
        <w:t>.</w:t>
      </w:r>
    </w:p>
    <w:p w14:paraId="2255DAB2" w14:textId="77777777" w:rsidR="00337F34" w:rsidRPr="00381EEF" w:rsidRDefault="00337F34" w:rsidP="008C1340">
      <w:pPr>
        <w:spacing w:after="20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>
        <w:rPr>
          <w:rFonts w:ascii="Calibri" w:hAnsi="Calibri"/>
          <w:b/>
          <w:bCs/>
          <w:color w:val="31849B"/>
          <w:sz w:val="24"/>
          <w:szCs w:val="24"/>
          <w:lang w:val="en-AU"/>
        </w:rPr>
        <w:t>Principles</w:t>
      </w:r>
    </w:p>
    <w:p w14:paraId="2255DAB3" w14:textId="77777777" w:rsidR="00337F34" w:rsidRPr="005F0F6F" w:rsidRDefault="00337F34" w:rsidP="00337F34">
      <w:pPr>
        <w:numPr>
          <w:ilvl w:val="0"/>
          <w:numId w:val="12"/>
        </w:numPr>
        <w:spacing w:after="200"/>
        <w:jc w:val="both"/>
        <w:rPr>
          <w:rFonts w:ascii="Calibri" w:hAnsi="Calibri"/>
          <w:bCs/>
          <w:sz w:val="21"/>
          <w:szCs w:val="21"/>
          <w:lang w:val="en-NZ"/>
        </w:rPr>
      </w:pPr>
      <w:r w:rsidRPr="005F0F6F">
        <w:rPr>
          <w:rFonts w:ascii="Calibri" w:hAnsi="Calibri"/>
          <w:bCs/>
          <w:sz w:val="21"/>
          <w:szCs w:val="21"/>
          <w:lang w:val="en-NZ"/>
        </w:rPr>
        <w:t>Commission staff and Members have a duty to be impartial in their decisions</w:t>
      </w:r>
      <w:r w:rsidR="006C23F3" w:rsidRPr="005F0F6F">
        <w:rPr>
          <w:rFonts w:ascii="Calibri" w:hAnsi="Calibri"/>
          <w:bCs/>
          <w:sz w:val="21"/>
          <w:szCs w:val="21"/>
          <w:lang w:val="en-NZ"/>
        </w:rPr>
        <w:t xml:space="preserve"> and must not abuse their </w:t>
      </w:r>
      <w:r w:rsidR="0008795F" w:rsidRPr="005F0F6F">
        <w:rPr>
          <w:rFonts w:ascii="Calibri" w:hAnsi="Calibri"/>
          <w:bCs/>
          <w:sz w:val="21"/>
          <w:szCs w:val="21"/>
          <w:lang w:val="en-NZ"/>
        </w:rPr>
        <w:t xml:space="preserve">Commission </w:t>
      </w:r>
      <w:r w:rsidR="006C23F3" w:rsidRPr="005F0F6F">
        <w:rPr>
          <w:rFonts w:ascii="Calibri" w:hAnsi="Calibri"/>
          <w:bCs/>
          <w:sz w:val="21"/>
          <w:szCs w:val="21"/>
          <w:lang w:val="en-NZ"/>
        </w:rPr>
        <w:t xml:space="preserve">position for private </w:t>
      </w:r>
      <w:proofErr w:type="gramStart"/>
      <w:r w:rsidR="006C23F3" w:rsidRPr="005F0F6F">
        <w:rPr>
          <w:rFonts w:ascii="Calibri" w:hAnsi="Calibri"/>
          <w:bCs/>
          <w:sz w:val="21"/>
          <w:szCs w:val="21"/>
          <w:lang w:val="en-NZ"/>
        </w:rPr>
        <w:t>purposes</w:t>
      </w:r>
      <w:r w:rsidR="008B6928" w:rsidRPr="005F0F6F">
        <w:rPr>
          <w:rFonts w:ascii="Calibri" w:hAnsi="Calibri"/>
          <w:bCs/>
          <w:sz w:val="21"/>
          <w:szCs w:val="21"/>
          <w:lang w:val="en-NZ"/>
        </w:rPr>
        <w:t>;</w:t>
      </w:r>
      <w:proofErr w:type="gramEnd"/>
    </w:p>
    <w:p w14:paraId="2255DAB4" w14:textId="77777777" w:rsidR="00337F34" w:rsidRPr="005F0F6F" w:rsidRDefault="00337F34" w:rsidP="00337F34">
      <w:pPr>
        <w:numPr>
          <w:ilvl w:val="0"/>
          <w:numId w:val="12"/>
        </w:numPr>
        <w:spacing w:after="200"/>
        <w:jc w:val="both"/>
        <w:rPr>
          <w:rFonts w:ascii="Calibri" w:hAnsi="Calibri"/>
          <w:bCs/>
          <w:sz w:val="21"/>
          <w:szCs w:val="21"/>
          <w:lang w:val="en-NZ"/>
        </w:rPr>
      </w:pPr>
      <w:r w:rsidRPr="005F0F6F">
        <w:rPr>
          <w:rFonts w:ascii="Calibri" w:hAnsi="Calibri"/>
          <w:bCs/>
          <w:sz w:val="21"/>
          <w:szCs w:val="21"/>
          <w:lang w:val="en-NZ"/>
        </w:rPr>
        <w:t>Conflicts of interest must be avoided – these may be either real or perceived</w:t>
      </w:r>
      <w:r w:rsidR="008B6928" w:rsidRPr="005F0F6F">
        <w:rPr>
          <w:rFonts w:ascii="Calibri" w:hAnsi="Calibri"/>
          <w:bCs/>
          <w:sz w:val="21"/>
          <w:szCs w:val="21"/>
          <w:lang w:val="en-NZ"/>
        </w:rPr>
        <w:t>; and</w:t>
      </w:r>
    </w:p>
    <w:p w14:paraId="2255DAB5" w14:textId="77777777" w:rsidR="00337F34" w:rsidRPr="005F0F6F" w:rsidRDefault="00337F34" w:rsidP="005F0F6F">
      <w:pPr>
        <w:numPr>
          <w:ilvl w:val="0"/>
          <w:numId w:val="12"/>
        </w:numPr>
        <w:spacing w:after="480"/>
        <w:jc w:val="both"/>
        <w:rPr>
          <w:rFonts w:ascii="Calibri" w:hAnsi="Calibri"/>
          <w:bCs/>
          <w:sz w:val="21"/>
          <w:szCs w:val="21"/>
          <w:lang w:val="en-NZ"/>
        </w:rPr>
      </w:pPr>
      <w:r w:rsidRPr="005F0F6F">
        <w:rPr>
          <w:rFonts w:ascii="Calibri" w:hAnsi="Calibri"/>
          <w:bCs/>
          <w:sz w:val="21"/>
          <w:szCs w:val="21"/>
          <w:lang w:val="en-NZ"/>
        </w:rPr>
        <w:t>As a</w:t>
      </w:r>
      <w:r w:rsidR="008B6928" w:rsidRPr="005F0F6F">
        <w:rPr>
          <w:rFonts w:ascii="Calibri" w:hAnsi="Calibri"/>
          <w:bCs/>
          <w:sz w:val="21"/>
          <w:szCs w:val="21"/>
          <w:lang w:val="en-NZ"/>
        </w:rPr>
        <w:t>n independent Government agency</w:t>
      </w:r>
      <w:r w:rsidRPr="005F0F6F">
        <w:rPr>
          <w:rFonts w:ascii="Calibri" w:hAnsi="Calibri"/>
          <w:bCs/>
          <w:sz w:val="21"/>
          <w:szCs w:val="21"/>
          <w:lang w:val="en-NZ"/>
        </w:rPr>
        <w:t xml:space="preserve">, </w:t>
      </w:r>
      <w:r w:rsidR="008B6928" w:rsidRPr="005F0F6F">
        <w:rPr>
          <w:rFonts w:ascii="Calibri" w:hAnsi="Calibri"/>
          <w:bCs/>
          <w:sz w:val="21"/>
          <w:szCs w:val="21"/>
          <w:lang w:val="en-NZ"/>
        </w:rPr>
        <w:t xml:space="preserve">the Commission </w:t>
      </w:r>
      <w:r w:rsidRPr="005F0F6F">
        <w:rPr>
          <w:rFonts w:ascii="Calibri" w:hAnsi="Calibri"/>
          <w:bCs/>
          <w:sz w:val="21"/>
          <w:szCs w:val="21"/>
          <w:lang w:val="en-NZ"/>
        </w:rPr>
        <w:t xml:space="preserve">needs to be </w:t>
      </w:r>
      <w:proofErr w:type="gramStart"/>
      <w:r w:rsidR="00B4777D" w:rsidRPr="005F0F6F">
        <w:rPr>
          <w:rFonts w:ascii="Calibri" w:hAnsi="Calibri"/>
          <w:bCs/>
          <w:sz w:val="21"/>
          <w:szCs w:val="21"/>
          <w:lang w:val="en-NZ"/>
        </w:rPr>
        <w:t>take</w:t>
      </w:r>
      <w:proofErr w:type="gramEnd"/>
      <w:r w:rsidR="00B4777D" w:rsidRPr="005F0F6F">
        <w:rPr>
          <w:rFonts w:ascii="Calibri" w:hAnsi="Calibri"/>
          <w:bCs/>
          <w:sz w:val="21"/>
          <w:szCs w:val="21"/>
          <w:lang w:val="en-NZ"/>
        </w:rPr>
        <w:t xml:space="preserve"> care with and be </w:t>
      </w:r>
      <w:r w:rsidRPr="005F0F6F">
        <w:rPr>
          <w:rFonts w:ascii="Calibri" w:hAnsi="Calibri"/>
          <w:bCs/>
          <w:sz w:val="21"/>
          <w:szCs w:val="21"/>
          <w:lang w:val="en-NZ"/>
        </w:rPr>
        <w:t xml:space="preserve">selective about </w:t>
      </w:r>
      <w:r w:rsidR="008B6928" w:rsidRPr="005F0F6F">
        <w:rPr>
          <w:rFonts w:ascii="Calibri" w:hAnsi="Calibri"/>
          <w:bCs/>
          <w:sz w:val="21"/>
          <w:szCs w:val="21"/>
          <w:lang w:val="en-NZ"/>
        </w:rPr>
        <w:t>g</w:t>
      </w:r>
      <w:r w:rsidRPr="005F0F6F">
        <w:rPr>
          <w:rFonts w:ascii="Calibri" w:hAnsi="Calibri"/>
          <w:bCs/>
          <w:sz w:val="21"/>
          <w:szCs w:val="21"/>
          <w:lang w:val="en-NZ"/>
        </w:rPr>
        <w:t>ifts and</w:t>
      </w:r>
      <w:r w:rsidR="008B6928" w:rsidRPr="005F0F6F">
        <w:rPr>
          <w:rFonts w:ascii="Calibri" w:hAnsi="Calibri"/>
          <w:bCs/>
          <w:sz w:val="21"/>
          <w:szCs w:val="21"/>
          <w:lang w:val="en-NZ"/>
        </w:rPr>
        <w:t xml:space="preserve"> hospitality </w:t>
      </w:r>
      <w:r w:rsidRPr="005F0F6F">
        <w:rPr>
          <w:rFonts w:ascii="Calibri" w:hAnsi="Calibri"/>
          <w:bCs/>
          <w:sz w:val="21"/>
          <w:szCs w:val="21"/>
          <w:lang w:val="en-NZ"/>
        </w:rPr>
        <w:t xml:space="preserve">that are </w:t>
      </w:r>
      <w:r w:rsidR="00B4777D" w:rsidRPr="005F0F6F">
        <w:rPr>
          <w:rFonts w:ascii="Calibri" w:hAnsi="Calibri"/>
          <w:bCs/>
          <w:sz w:val="21"/>
          <w:szCs w:val="21"/>
          <w:lang w:val="en-NZ"/>
        </w:rPr>
        <w:t xml:space="preserve">offered and </w:t>
      </w:r>
      <w:r w:rsidRPr="005F0F6F">
        <w:rPr>
          <w:rFonts w:ascii="Calibri" w:hAnsi="Calibri"/>
          <w:bCs/>
          <w:sz w:val="21"/>
          <w:szCs w:val="21"/>
          <w:lang w:val="en-NZ"/>
        </w:rPr>
        <w:t>accepted.</w:t>
      </w:r>
    </w:p>
    <w:p w14:paraId="2255DAB6" w14:textId="77777777" w:rsidR="00381EEF" w:rsidRPr="00381EEF" w:rsidRDefault="008B6928" w:rsidP="008C1340">
      <w:pPr>
        <w:spacing w:after="20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>
        <w:rPr>
          <w:rFonts w:ascii="Calibri" w:hAnsi="Calibri"/>
          <w:b/>
          <w:bCs/>
          <w:color w:val="31849B"/>
          <w:sz w:val="24"/>
          <w:szCs w:val="24"/>
          <w:lang w:val="en-AU"/>
        </w:rPr>
        <w:t>P</w:t>
      </w:r>
      <w:r w:rsidR="00381EEF" w:rsidRPr="00381EEF">
        <w:rPr>
          <w:rFonts w:ascii="Calibri" w:hAnsi="Calibri"/>
          <w:b/>
          <w:bCs/>
          <w:color w:val="31849B"/>
          <w:sz w:val="24"/>
          <w:szCs w:val="24"/>
          <w:lang w:val="en-AU"/>
        </w:rPr>
        <w:t xml:space="preserve">olicy </w:t>
      </w:r>
    </w:p>
    <w:p w14:paraId="2255DAB7" w14:textId="77777777" w:rsidR="001C7D06" w:rsidRPr="005F0F6F" w:rsidRDefault="001C7D06" w:rsidP="00C242A5">
      <w:pPr>
        <w:spacing w:after="20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Staff</w:t>
      </w:r>
      <w:r w:rsidR="006C23F3" w:rsidRPr="005F0F6F">
        <w:rPr>
          <w:rFonts w:ascii="Calibri" w:hAnsi="Calibri"/>
          <w:bCs/>
          <w:sz w:val="21"/>
          <w:szCs w:val="21"/>
          <w:lang w:val="en-AU"/>
        </w:rPr>
        <w:t xml:space="preserve"> and Members </w:t>
      </w:r>
      <w:r w:rsidRPr="005F0F6F">
        <w:rPr>
          <w:rFonts w:ascii="Calibri" w:hAnsi="Calibri"/>
          <w:bCs/>
          <w:sz w:val="21"/>
          <w:szCs w:val="21"/>
          <w:lang w:val="en-AU"/>
        </w:rPr>
        <w:t>will not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>, as general rule,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accept gifts </w:t>
      </w:r>
      <w:r w:rsidR="006C23F3" w:rsidRPr="005F0F6F">
        <w:rPr>
          <w:rFonts w:ascii="Calibri" w:hAnsi="Calibri"/>
          <w:bCs/>
          <w:sz w:val="21"/>
          <w:szCs w:val="21"/>
          <w:lang w:val="en-AU"/>
        </w:rPr>
        <w:t xml:space="preserve">and invitations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from external parties, except as permitted 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 xml:space="preserve">in limited circumstances </w:t>
      </w:r>
      <w:r w:rsidRPr="005F0F6F">
        <w:rPr>
          <w:rFonts w:ascii="Calibri" w:hAnsi="Calibri"/>
          <w:bCs/>
          <w:sz w:val="21"/>
          <w:szCs w:val="21"/>
          <w:lang w:val="en-AU"/>
        </w:rPr>
        <w:t>by th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is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Policy. </w:t>
      </w:r>
    </w:p>
    <w:p w14:paraId="2255DAB8" w14:textId="77777777" w:rsidR="00C242A5" w:rsidRPr="005F0F6F" w:rsidRDefault="0007510F" w:rsidP="00C242A5">
      <w:pPr>
        <w:spacing w:after="20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In all cases </w:t>
      </w:r>
      <w:r w:rsidR="001C7D06" w:rsidRPr="005F0F6F">
        <w:rPr>
          <w:rFonts w:ascii="Calibri" w:hAnsi="Calibri"/>
          <w:bCs/>
          <w:sz w:val="21"/>
          <w:szCs w:val="21"/>
          <w:lang w:val="en-AU"/>
        </w:rPr>
        <w:t xml:space="preserve">judgement must be exercised as to whether any </w:t>
      </w:r>
      <w:r w:rsidR="008B6928" w:rsidRPr="005F0F6F">
        <w:rPr>
          <w:rFonts w:ascii="Calibri" w:hAnsi="Calibri"/>
          <w:bCs/>
          <w:sz w:val="21"/>
          <w:szCs w:val="21"/>
          <w:lang w:val="en-AU"/>
        </w:rPr>
        <w:t xml:space="preserve">gift or </w:t>
      </w:r>
      <w:r w:rsidR="001C7D06" w:rsidRPr="005F0F6F">
        <w:rPr>
          <w:rFonts w:ascii="Calibri" w:hAnsi="Calibri"/>
          <w:bCs/>
          <w:sz w:val="21"/>
          <w:szCs w:val="21"/>
          <w:lang w:val="en-AU"/>
        </w:rPr>
        <w:t xml:space="preserve">invitation is likely to be seen as compromising the </w:t>
      </w:r>
      <w:r w:rsidRPr="005F0F6F">
        <w:rPr>
          <w:rFonts w:ascii="Calibri" w:hAnsi="Calibri"/>
          <w:bCs/>
          <w:sz w:val="21"/>
          <w:szCs w:val="21"/>
          <w:lang w:val="en-AU"/>
        </w:rPr>
        <w:t>Member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>’</w:t>
      </w:r>
      <w:r w:rsidRPr="005F0F6F">
        <w:rPr>
          <w:rFonts w:ascii="Calibri" w:hAnsi="Calibri"/>
          <w:bCs/>
          <w:sz w:val="21"/>
          <w:szCs w:val="21"/>
          <w:lang w:val="en-AU"/>
        </w:rPr>
        <w:t>s or staff m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>e</w:t>
      </w:r>
      <w:r w:rsidRPr="005F0F6F">
        <w:rPr>
          <w:rFonts w:ascii="Calibri" w:hAnsi="Calibri"/>
          <w:bCs/>
          <w:sz w:val="21"/>
          <w:szCs w:val="21"/>
          <w:lang w:val="en-AU"/>
        </w:rPr>
        <w:t>mber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>’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s </w:t>
      </w:r>
      <w:r w:rsidR="001C7D06" w:rsidRPr="005F0F6F">
        <w:rPr>
          <w:rFonts w:ascii="Calibri" w:hAnsi="Calibri"/>
          <w:bCs/>
          <w:sz w:val="21"/>
          <w:szCs w:val="21"/>
          <w:lang w:val="en-AU"/>
        </w:rPr>
        <w:t xml:space="preserve">position. </w:t>
      </w:r>
    </w:p>
    <w:p w14:paraId="2255DAB9" w14:textId="77777777" w:rsidR="008B6928" w:rsidRPr="005F0F6F" w:rsidRDefault="008B6928" w:rsidP="00C242A5">
      <w:pPr>
        <w:spacing w:after="20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As a general rule, a line may be drawn in situations where a gift or invitation (whatever its nature of value) would be seen by others as an inducement or a reward which might place a staff member under an obligation to a third </w:t>
      </w:r>
      <w:proofErr w:type="gramStart"/>
      <w:r w:rsidRPr="005F0F6F">
        <w:rPr>
          <w:rFonts w:ascii="Calibri" w:hAnsi="Calibri"/>
          <w:bCs/>
          <w:sz w:val="21"/>
          <w:szCs w:val="21"/>
          <w:lang w:val="en-AU"/>
        </w:rPr>
        <w:t>party</w:t>
      </w:r>
      <w:r w:rsidR="00C242A5" w:rsidRPr="005F0F6F">
        <w:rPr>
          <w:rFonts w:ascii="Calibri" w:hAnsi="Calibri"/>
          <w:bCs/>
          <w:sz w:val="21"/>
          <w:szCs w:val="21"/>
          <w:lang w:val="en-AU"/>
        </w:rPr>
        <w:t>, or</w:t>
      </w:r>
      <w:proofErr w:type="gramEnd"/>
      <w:r w:rsidR="00C242A5" w:rsidRPr="005F0F6F">
        <w:rPr>
          <w:rFonts w:ascii="Calibri" w:hAnsi="Calibri"/>
          <w:bCs/>
          <w:sz w:val="21"/>
          <w:szCs w:val="21"/>
          <w:lang w:val="en-AU"/>
        </w:rPr>
        <w:t xml:space="preserve"> is inappropriate or excessive to the occasion or reason for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 xml:space="preserve"> which</w:t>
      </w:r>
      <w:r w:rsidR="00C242A5" w:rsidRPr="005F0F6F">
        <w:rPr>
          <w:rFonts w:ascii="Calibri" w:hAnsi="Calibri"/>
          <w:bCs/>
          <w:sz w:val="21"/>
          <w:szCs w:val="21"/>
          <w:lang w:val="en-AU"/>
        </w:rPr>
        <w:t xml:space="preserve"> it 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 xml:space="preserve">is </w:t>
      </w:r>
      <w:r w:rsidR="00C242A5" w:rsidRPr="005F0F6F">
        <w:rPr>
          <w:rFonts w:ascii="Calibri" w:hAnsi="Calibri"/>
          <w:bCs/>
          <w:sz w:val="21"/>
          <w:szCs w:val="21"/>
          <w:lang w:val="en-AU"/>
        </w:rPr>
        <w:t>being given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 xml:space="preserve"> or offered</w:t>
      </w:r>
      <w:r w:rsidRPr="005F0F6F">
        <w:rPr>
          <w:rFonts w:ascii="Calibri" w:hAnsi="Calibri"/>
          <w:bCs/>
          <w:sz w:val="21"/>
          <w:szCs w:val="21"/>
          <w:lang w:val="en-AU"/>
        </w:rPr>
        <w:t>.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</w:p>
    <w:p w14:paraId="2255DABA" w14:textId="77777777" w:rsidR="00587576" w:rsidRPr="005F0F6F" w:rsidRDefault="00587576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The Commission recognises that hospitality can, in appropriate circumstances and well managed, be a legitimate and desirable means of building business relationships.  Where those relationship benefits are not present, such as un</w:t>
      </w:r>
      <w:r w:rsidR="00BB4897" w:rsidRPr="005F0F6F">
        <w:rPr>
          <w:rFonts w:ascii="Calibri" w:hAnsi="Calibri"/>
          <w:bCs/>
          <w:sz w:val="21"/>
          <w:szCs w:val="21"/>
          <w:lang w:val="en-AU"/>
        </w:rPr>
        <w:t>-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hosted tickets to an event, the Commission will not generally permit attendance. </w:t>
      </w:r>
    </w:p>
    <w:p w14:paraId="2255DABB" w14:textId="3052948D" w:rsidR="006C23F3" w:rsidRDefault="006C23F3" w:rsidP="005F0F6F">
      <w:pPr>
        <w:spacing w:after="24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 w:rsidRPr="006C23F3">
        <w:rPr>
          <w:rFonts w:ascii="Calibri" w:hAnsi="Calibri"/>
          <w:b/>
          <w:bCs/>
          <w:color w:val="31849B"/>
          <w:sz w:val="24"/>
          <w:szCs w:val="24"/>
          <w:lang w:val="en-AU"/>
        </w:rPr>
        <w:lastRenderedPageBreak/>
        <w:t>Gifts</w:t>
      </w:r>
    </w:p>
    <w:p w14:paraId="2255DABC" w14:textId="77777777" w:rsidR="006C23F3" w:rsidRPr="005F0F6F" w:rsidRDefault="006C23F3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Where offers of gifts or gratuities are made, or gifts are 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>received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, 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 xml:space="preserve">these </w:t>
      </w:r>
      <w:r w:rsidRPr="005F0F6F">
        <w:rPr>
          <w:rFonts w:ascii="Calibri" w:hAnsi="Calibri"/>
          <w:bCs/>
          <w:sz w:val="21"/>
          <w:szCs w:val="21"/>
          <w:lang w:val="en-AU"/>
        </w:rPr>
        <w:t>should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 xml:space="preserve"> be </w:t>
      </w:r>
      <w:r w:rsidRPr="005F0F6F">
        <w:rPr>
          <w:rFonts w:ascii="Calibri" w:hAnsi="Calibri"/>
          <w:bCs/>
          <w:sz w:val="21"/>
          <w:szCs w:val="21"/>
          <w:lang w:val="en-AU"/>
        </w:rPr>
        <w:t>report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>ed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to the General Manager 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 xml:space="preserve">in the case of staff, and the Chair in the case of Members, </w:t>
      </w:r>
      <w:r w:rsidRPr="005F0F6F">
        <w:rPr>
          <w:rFonts w:ascii="Calibri" w:hAnsi="Calibri"/>
          <w:bCs/>
          <w:sz w:val="21"/>
          <w:szCs w:val="21"/>
          <w:lang w:val="en-AU"/>
        </w:rPr>
        <w:t>who will determine the appropriate response, or final dispos</w:t>
      </w:r>
      <w:r w:rsidR="009E2324" w:rsidRPr="005F0F6F">
        <w:rPr>
          <w:rFonts w:ascii="Calibri" w:hAnsi="Calibri"/>
          <w:bCs/>
          <w:sz w:val="21"/>
          <w:szCs w:val="21"/>
          <w:lang w:val="en-AU"/>
        </w:rPr>
        <w:t>ition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of any gift already received. </w:t>
      </w:r>
      <w:r w:rsidR="009536FC" w:rsidRPr="005F0F6F">
        <w:rPr>
          <w:rFonts w:ascii="Calibri" w:hAnsi="Calibri"/>
          <w:bCs/>
          <w:sz w:val="21"/>
          <w:szCs w:val="21"/>
          <w:lang w:val="en-AU"/>
        </w:rPr>
        <w:t>The decision may be to accept, return or dispose of the gift.</w:t>
      </w:r>
    </w:p>
    <w:p w14:paraId="2255DABD" w14:textId="77777777" w:rsidR="009536FC" w:rsidRPr="005F0F6F" w:rsidRDefault="00337F34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All gifts</w:t>
      </w:r>
      <w:r w:rsidR="00740A1D" w:rsidRPr="005F0F6F">
        <w:rPr>
          <w:rFonts w:ascii="Calibri" w:hAnsi="Calibri"/>
          <w:bCs/>
          <w:sz w:val="21"/>
          <w:szCs w:val="21"/>
          <w:lang w:val="en-AU"/>
        </w:rPr>
        <w:t xml:space="preserve"> received </w:t>
      </w:r>
      <w:r w:rsidR="009536FC" w:rsidRPr="005F0F6F">
        <w:rPr>
          <w:rFonts w:ascii="Calibri" w:hAnsi="Calibri"/>
          <w:bCs/>
          <w:sz w:val="21"/>
          <w:szCs w:val="21"/>
          <w:lang w:val="en-AU"/>
        </w:rPr>
        <w:t>(except minor value gift</w:t>
      </w:r>
      <w:r w:rsidRPr="005F0F6F">
        <w:rPr>
          <w:rFonts w:ascii="Calibri" w:hAnsi="Calibri"/>
          <w:bCs/>
          <w:sz w:val="21"/>
          <w:szCs w:val="21"/>
          <w:lang w:val="en-AU"/>
        </w:rPr>
        <w:t>s</w:t>
      </w:r>
      <w:r w:rsidR="009536FC" w:rsidRPr="005F0F6F">
        <w:rPr>
          <w:rFonts w:ascii="Calibri" w:hAnsi="Calibri"/>
          <w:bCs/>
          <w:sz w:val="21"/>
          <w:szCs w:val="21"/>
          <w:lang w:val="en-AU"/>
        </w:rPr>
        <w:t>, see below) s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hould be recorded in the </w:t>
      </w:r>
      <w:r w:rsidR="0007510F" w:rsidRPr="005F0F6F">
        <w:rPr>
          <w:rFonts w:ascii="Calibri" w:hAnsi="Calibri"/>
          <w:bCs/>
          <w:sz w:val="21"/>
          <w:szCs w:val="21"/>
          <w:lang w:val="en-AU"/>
        </w:rPr>
        <w:t>Gifts Register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which is held </w:t>
      </w:r>
      <w:r w:rsidR="006C23F3" w:rsidRPr="005F0F6F">
        <w:rPr>
          <w:rFonts w:ascii="Calibri" w:hAnsi="Calibri"/>
          <w:bCs/>
          <w:sz w:val="21"/>
          <w:szCs w:val="21"/>
          <w:lang w:val="en-AU"/>
        </w:rPr>
        <w:t>by the Office Manager</w:t>
      </w:r>
      <w:r w:rsidR="009536FC" w:rsidRPr="005F0F6F">
        <w:rPr>
          <w:rFonts w:ascii="Calibri" w:hAnsi="Calibri"/>
          <w:bCs/>
          <w:sz w:val="21"/>
          <w:szCs w:val="21"/>
          <w:lang w:val="en-AU"/>
        </w:rPr>
        <w:t>.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</w:p>
    <w:p w14:paraId="2255DABE" w14:textId="77777777" w:rsidR="00337F34" w:rsidRPr="005F0F6F" w:rsidRDefault="00337F34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Gifts with an estimated value greater 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 xml:space="preserve">or in the order of </w:t>
      </w:r>
      <w:r w:rsidRPr="005F0F6F">
        <w:rPr>
          <w:rFonts w:ascii="Calibri" w:hAnsi="Calibri"/>
          <w:bCs/>
          <w:sz w:val="21"/>
          <w:szCs w:val="21"/>
          <w:lang w:val="en-AU"/>
        </w:rPr>
        <w:t>$</w:t>
      </w:r>
      <w:r w:rsidR="006C23F3" w:rsidRPr="005F0F6F">
        <w:rPr>
          <w:rFonts w:ascii="Calibri" w:hAnsi="Calibri"/>
          <w:bCs/>
          <w:sz w:val="21"/>
          <w:szCs w:val="21"/>
          <w:lang w:val="en-AU"/>
        </w:rPr>
        <w:t>10</w:t>
      </w:r>
      <w:r w:rsidRPr="005F0F6F">
        <w:rPr>
          <w:rFonts w:ascii="Calibri" w:hAnsi="Calibri"/>
          <w:bCs/>
          <w:sz w:val="21"/>
          <w:szCs w:val="21"/>
          <w:lang w:val="en-AU"/>
        </w:rPr>
        <w:t>0 (GST inclusive) are not generally accepted</w:t>
      </w:r>
      <w:r w:rsidR="00740A1D" w:rsidRPr="005F0F6F">
        <w:rPr>
          <w:rFonts w:ascii="Calibri" w:hAnsi="Calibri"/>
          <w:bCs/>
          <w:sz w:val="21"/>
          <w:szCs w:val="21"/>
          <w:lang w:val="en-AU"/>
        </w:rPr>
        <w:t>, apart from the exceptions noted below</w:t>
      </w:r>
      <w:r w:rsidRPr="005F0F6F">
        <w:rPr>
          <w:rFonts w:ascii="Calibri" w:hAnsi="Calibri"/>
          <w:bCs/>
          <w:sz w:val="21"/>
          <w:szCs w:val="21"/>
          <w:lang w:val="en-AU"/>
        </w:rPr>
        <w:t>.</w:t>
      </w:r>
    </w:p>
    <w:p w14:paraId="2255DABF" w14:textId="77777777" w:rsidR="00686A16" w:rsidRPr="005F0F6F" w:rsidRDefault="00686A16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N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on-consumable gifts accepted (apart from </w:t>
      </w:r>
      <w:r w:rsidR="009E2324" w:rsidRPr="005F0F6F">
        <w:rPr>
          <w:rFonts w:ascii="Calibri" w:hAnsi="Calibri"/>
          <w:bCs/>
          <w:sz w:val="21"/>
          <w:szCs w:val="21"/>
          <w:lang w:val="en-AU"/>
        </w:rPr>
        <w:t xml:space="preserve">the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exceptions noted below) will go into a gift </w:t>
      </w:r>
      <w:proofErr w:type="gramStart"/>
      <w:r w:rsidR="00337F34" w:rsidRPr="005F0F6F">
        <w:rPr>
          <w:rFonts w:ascii="Calibri" w:hAnsi="Calibri"/>
          <w:bCs/>
          <w:sz w:val="21"/>
          <w:szCs w:val="21"/>
          <w:lang w:val="en-AU"/>
        </w:rPr>
        <w:t>pool, and</w:t>
      </w:r>
      <w:proofErr w:type="gramEnd"/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 be periodically distributed amongst staff 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 xml:space="preserve">and Members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>through a random draw of names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>, or be allocated or used in another way by the General Manager, such as to recognise achievement (provided such allocation addresses the underlying concern associated with receiving gifts).</w:t>
      </w:r>
    </w:p>
    <w:p w14:paraId="2255DAC0" w14:textId="77777777" w:rsidR="00686A16" w:rsidRPr="005F0F6F" w:rsidRDefault="00686A16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C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onsumable or perishable </w:t>
      </w:r>
      <w:r w:rsidRPr="005F0F6F">
        <w:rPr>
          <w:rFonts w:ascii="Calibri" w:hAnsi="Calibri"/>
          <w:bCs/>
          <w:sz w:val="21"/>
          <w:szCs w:val="21"/>
          <w:lang w:val="en-AU"/>
        </w:rPr>
        <w:t>gifts accepted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>,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such as food and wine may be shared amongst 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 xml:space="preserve">a wider group of people. </w:t>
      </w:r>
    </w:p>
    <w:p w14:paraId="2255DAC1" w14:textId="77777777" w:rsidR="00337F34" w:rsidRPr="005F0F6F" w:rsidRDefault="00337F34" w:rsidP="005F0F6F">
      <w:pPr>
        <w:spacing w:after="36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Minor value </w:t>
      </w:r>
      <w:r w:rsidR="00686A16" w:rsidRPr="005F0F6F">
        <w:rPr>
          <w:rFonts w:ascii="Calibri" w:hAnsi="Calibri"/>
          <w:bCs/>
          <w:sz w:val="21"/>
          <w:szCs w:val="21"/>
          <w:lang w:val="en-AU"/>
        </w:rPr>
        <w:t xml:space="preserve">gifts </w:t>
      </w:r>
      <w:r w:rsidRPr="005F0F6F">
        <w:rPr>
          <w:rFonts w:ascii="Calibri" w:hAnsi="Calibri"/>
          <w:bCs/>
          <w:sz w:val="21"/>
          <w:szCs w:val="21"/>
          <w:lang w:val="en-AU"/>
        </w:rPr>
        <w:t>(</w:t>
      </w:r>
      <w:r w:rsidR="009536FC" w:rsidRPr="005F0F6F">
        <w:rPr>
          <w:rFonts w:ascii="Calibri" w:hAnsi="Calibri"/>
          <w:bCs/>
          <w:sz w:val="21"/>
          <w:szCs w:val="21"/>
          <w:lang w:val="en-AU"/>
        </w:rPr>
        <w:t xml:space="preserve">those which are inexpensive and infrequent, defined as being received </w:t>
      </w:r>
      <w:r w:rsidR="00740A1D" w:rsidRPr="005F0F6F">
        <w:rPr>
          <w:rFonts w:ascii="Calibri" w:hAnsi="Calibri"/>
          <w:bCs/>
          <w:sz w:val="21"/>
          <w:szCs w:val="21"/>
          <w:lang w:val="en-AU"/>
        </w:rPr>
        <w:t xml:space="preserve">occasionally and with a value 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 xml:space="preserve">less </w:t>
      </w:r>
      <w:r w:rsidR="0035350F" w:rsidRPr="005F0F6F">
        <w:rPr>
          <w:rFonts w:ascii="Calibri" w:hAnsi="Calibri"/>
          <w:bCs/>
          <w:sz w:val="21"/>
          <w:szCs w:val="21"/>
          <w:lang w:val="en-AU"/>
        </w:rPr>
        <w:t xml:space="preserve">than 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 xml:space="preserve">or in the order of </w:t>
      </w:r>
      <w:r w:rsidRPr="005F0F6F">
        <w:rPr>
          <w:rFonts w:ascii="Calibri" w:hAnsi="Calibri"/>
          <w:bCs/>
          <w:sz w:val="21"/>
          <w:szCs w:val="21"/>
          <w:lang w:val="en-AU"/>
        </w:rPr>
        <w:t>$</w:t>
      </w:r>
      <w:r w:rsidR="00740A1D" w:rsidRPr="005F0F6F">
        <w:rPr>
          <w:rFonts w:ascii="Calibri" w:hAnsi="Calibri"/>
          <w:bCs/>
          <w:sz w:val="21"/>
          <w:szCs w:val="21"/>
          <w:lang w:val="en-AU"/>
        </w:rPr>
        <w:t>3</w:t>
      </w:r>
      <w:r w:rsidRPr="005F0F6F">
        <w:rPr>
          <w:rFonts w:ascii="Calibri" w:hAnsi="Calibri"/>
          <w:bCs/>
          <w:sz w:val="21"/>
          <w:szCs w:val="21"/>
          <w:lang w:val="en-AU"/>
        </w:rPr>
        <w:t>0 (GST inclusive)), such as diaries, pens or calendars may be retained by the recipient</w:t>
      </w:r>
      <w:r w:rsidR="009536FC" w:rsidRPr="005F0F6F">
        <w:rPr>
          <w:rFonts w:ascii="Calibri" w:hAnsi="Calibri"/>
          <w:bCs/>
          <w:sz w:val="21"/>
          <w:szCs w:val="21"/>
          <w:lang w:val="en-AU"/>
        </w:rPr>
        <w:t>.</w:t>
      </w:r>
    </w:p>
    <w:p w14:paraId="2255DAC2" w14:textId="77777777" w:rsidR="00337F34" w:rsidRPr="006D0E90" w:rsidRDefault="00337F34" w:rsidP="005F0F6F">
      <w:pPr>
        <w:spacing w:after="240"/>
        <w:jc w:val="both"/>
        <w:rPr>
          <w:rFonts w:ascii="Calibri" w:hAnsi="Calibri"/>
          <w:b/>
          <w:bCs/>
          <w:sz w:val="21"/>
          <w:szCs w:val="21"/>
          <w:lang w:val="en-AU"/>
        </w:rPr>
      </w:pPr>
      <w:r w:rsidRPr="006D0E90">
        <w:rPr>
          <w:rFonts w:ascii="Calibri" w:hAnsi="Calibri"/>
          <w:b/>
          <w:bCs/>
          <w:sz w:val="21"/>
          <w:szCs w:val="21"/>
          <w:lang w:val="en-AU"/>
        </w:rPr>
        <w:t>Exceptions</w:t>
      </w:r>
    </w:p>
    <w:p w14:paraId="2255DAC3" w14:textId="77777777" w:rsidR="00337F34" w:rsidRPr="005F0F6F" w:rsidRDefault="00686A16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T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>here may be exceptions to where for cultural or other reasons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>,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 which make the gifting process particularly significant, it may be appropriate for an individual to retain a gift presented to them in their role at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the Commission.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In some cases, where a gift is made to an individual as a gesture of appreciation and recognition, redistributing the gift would be inappropriate. </w:t>
      </w:r>
    </w:p>
    <w:p w14:paraId="2255DAC4" w14:textId="77777777" w:rsidR="0008795F" w:rsidRPr="005F0F6F" w:rsidRDefault="0008795F" w:rsidP="005F0F6F">
      <w:pPr>
        <w:spacing w:after="36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In accepting any such gift, the staff member or Member must be conscious of their overarching obligations of impartiality and objective </w:t>
      </w:r>
      <w:r w:rsidR="00587576" w:rsidRPr="005F0F6F">
        <w:rPr>
          <w:rFonts w:ascii="Calibri" w:hAnsi="Calibri"/>
          <w:bCs/>
          <w:sz w:val="21"/>
          <w:szCs w:val="21"/>
          <w:lang w:val="en-AU"/>
        </w:rPr>
        <w:t xml:space="preserve">analysis and </w:t>
      </w:r>
      <w:r w:rsidRPr="005F0F6F">
        <w:rPr>
          <w:rFonts w:ascii="Calibri" w:hAnsi="Calibri"/>
          <w:bCs/>
          <w:sz w:val="21"/>
          <w:szCs w:val="21"/>
          <w:lang w:val="en-AU"/>
        </w:rPr>
        <w:t>decision making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 xml:space="preserve">.  </w:t>
      </w:r>
      <w:r w:rsidRPr="005F0F6F">
        <w:rPr>
          <w:rFonts w:ascii="Calibri" w:hAnsi="Calibri"/>
          <w:bCs/>
          <w:sz w:val="21"/>
          <w:szCs w:val="21"/>
          <w:lang w:val="en-AU"/>
        </w:rPr>
        <w:t>Maintaining a reputation for impartiality and objectivity is central to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 xml:space="preserve"> the Commission’s </w:t>
      </w:r>
      <w:r w:rsidRPr="005F0F6F">
        <w:rPr>
          <w:rFonts w:ascii="Calibri" w:hAnsi="Calibri"/>
          <w:bCs/>
          <w:sz w:val="21"/>
          <w:szCs w:val="21"/>
          <w:lang w:val="en-AU"/>
        </w:rPr>
        <w:t>effectiveness, and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 xml:space="preserve"> there can be no obligation of reciprocity implied or expected</w:t>
      </w:r>
      <w:r w:rsidR="009E2324" w:rsidRPr="005F0F6F">
        <w:rPr>
          <w:rFonts w:ascii="Calibri" w:hAnsi="Calibri"/>
          <w:bCs/>
          <w:sz w:val="21"/>
          <w:szCs w:val="21"/>
          <w:lang w:val="en-AU"/>
        </w:rPr>
        <w:t xml:space="preserve"> when a gift is 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>accept</w:t>
      </w:r>
      <w:r w:rsidR="009E2324" w:rsidRPr="005F0F6F">
        <w:rPr>
          <w:rFonts w:ascii="Calibri" w:hAnsi="Calibri"/>
          <w:bCs/>
          <w:sz w:val="21"/>
          <w:szCs w:val="21"/>
          <w:lang w:val="en-AU"/>
        </w:rPr>
        <w:t xml:space="preserve">ed 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>from another party.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</w:p>
    <w:p w14:paraId="2255DAC5" w14:textId="77777777" w:rsidR="0007510F" w:rsidRPr="005F0F6F" w:rsidRDefault="0007510F" w:rsidP="005F0F6F">
      <w:pPr>
        <w:spacing w:after="120"/>
        <w:jc w:val="both"/>
        <w:rPr>
          <w:rFonts w:ascii="Calibri" w:hAnsi="Calibri"/>
          <w:bCs/>
          <w:i/>
          <w:sz w:val="21"/>
          <w:szCs w:val="21"/>
          <w:lang w:val="en-AU"/>
        </w:rPr>
      </w:pPr>
      <w:r w:rsidRPr="005F0F6F">
        <w:rPr>
          <w:rFonts w:ascii="Calibri" w:hAnsi="Calibri"/>
          <w:bCs/>
          <w:i/>
          <w:sz w:val="21"/>
          <w:szCs w:val="21"/>
          <w:lang w:val="en-AU"/>
        </w:rPr>
        <w:t>Gifts to the Commission as an entity</w:t>
      </w:r>
    </w:p>
    <w:p w14:paraId="2255DAC6" w14:textId="77777777" w:rsidR="0007510F" w:rsidRPr="005F0F6F" w:rsidRDefault="0007510F" w:rsidP="005F0F6F">
      <w:pPr>
        <w:spacing w:after="36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Gifts which are made to the Commission as an entity on occasions such as of goodwill and recognition, may carry enduring significance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 xml:space="preserve"> to the Commission. T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he General Manager or Chair 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 xml:space="preserve">will </w:t>
      </w:r>
      <w:r w:rsidRPr="005F0F6F">
        <w:rPr>
          <w:rFonts w:ascii="Calibri" w:hAnsi="Calibri"/>
          <w:bCs/>
          <w:sz w:val="21"/>
          <w:szCs w:val="21"/>
          <w:lang w:val="en-AU"/>
        </w:rPr>
        <w:t>de</w:t>
      </w:r>
      <w:r w:rsidR="00B4777D" w:rsidRPr="005F0F6F">
        <w:rPr>
          <w:rFonts w:ascii="Calibri" w:hAnsi="Calibri"/>
          <w:bCs/>
          <w:sz w:val="21"/>
          <w:szCs w:val="21"/>
          <w:lang w:val="en-AU"/>
        </w:rPr>
        <w:t xml:space="preserve">termine whether these are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retained for display or other Commission purposes. </w:t>
      </w:r>
    </w:p>
    <w:p w14:paraId="2255DAC7" w14:textId="77777777" w:rsidR="0008795F" w:rsidRPr="005F0F6F" w:rsidRDefault="0008795F" w:rsidP="005F0F6F">
      <w:pPr>
        <w:spacing w:after="120"/>
        <w:jc w:val="both"/>
        <w:rPr>
          <w:rFonts w:ascii="Calibri" w:hAnsi="Calibri"/>
          <w:bCs/>
          <w:i/>
          <w:sz w:val="21"/>
          <w:szCs w:val="21"/>
          <w:lang w:val="en-AU"/>
        </w:rPr>
      </w:pPr>
      <w:r w:rsidRPr="005F0F6F">
        <w:rPr>
          <w:rFonts w:ascii="Calibri" w:hAnsi="Calibri"/>
          <w:bCs/>
          <w:i/>
          <w:sz w:val="21"/>
          <w:szCs w:val="21"/>
          <w:lang w:val="en-AU"/>
        </w:rPr>
        <w:t>Gifts with cultural significance to Māori</w:t>
      </w:r>
      <w:r w:rsidR="00852E8D" w:rsidRPr="005F0F6F">
        <w:rPr>
          <w:rFonts w:ascii="Calibri" w:hAnsi="Calibri"/>
          <w:bCs/>
          <w:i/>
          <w:sz w:val="21"/>
          <w:szCs w:val="21"/>
          <w:lang w:val="en-AU"/>
        </w:rPr>
        <w:t xml:space="preserve"> (or other cultures)</w:t>
      </w:r>
    </w:p>
    <w:p w14:paraId="2255DAC8" w14:textId="77777777" w:rsidR="00A66648" w:rsidRPr="005F0F6F" w:rsidRDefault="00A66648">
      <w:pPr>
        <w:spacing w:after="20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Gifts with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cultural significance to Māori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include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>greenstone/pounamu, kete (woven baskets), whalebone pendants and kakahū (feather cloaks)</w:t>
      </w:r>
      <w:r w:rsidR="00852E8D" w:rsidRPr="005F0F6F">
        <w:rPr>
          <w:rFonts w:ascii="Calibri" w:hAnsi="Calibri"/>
          <w:bCs/>
          <w:sz w:val="21"/>
          <w:szCs w:val="21"/>
          <w:lang w:val="en-AU"/>
        </w:rPr>
        <w:t xml:space="preserve">, which the Commission may receive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as a gesture of appreciation and recognition. </w:t>
      </w:r>
    </w:p>
    <w:p w14:paraId="2255DAC9" w14:textId="77777777" w:rsidR="00A66648" w:rsidRPr="005F0F6F" w:rsidRDefault="00852E8D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Such gifts may also be given to individual staff or Board members and, in such circumstances; the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 gift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may have been intended to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>confer mana (dign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 xml:space="preserve">ity/status) on the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specific 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>recipient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. </w:t>
      </w:r>
    </w:p>
    <w:p w14:paraId="2255DACA" w14:textId="77777777" w:rsidR="00852E8D" w:rsidRPr="005F0F6F" w:rsidRDefault="00852E8D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The Commission also recognises that other cultures have giving norms and protocols, which the Commission will, as required, have regard to. </w:t>
      </w:r>
    </w:p>
    <w:p w14:paraId="2255DACB" w14:textId="77777777" w:rsidR="00337F34" w:rsidRPr="005F0F6F" w:rsidRDefault="00337F34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lastRenderedPageBreak/>
        <w:t xml:space="preserve">Where a </w:t>
      </w:r>
      <w:proofErr w:type="gramStart"/>
      <w:r w:rsidR="00A66648" w:rsidRPr="005F0F6F">
        <w:rPr>
          <w:rFonts w:ascii="Calibri" w:hAnsi="Calibri"/>
          <w:bCs/>
          <w:sz w:val="21"/>
          <w:szCs w:val="21"/>
          <w:lang w:val="en-AU"/>
        </w:rPr>
        <w:t>Member</w:t>
      </w:r>
      <w:proofErr w:type="gramEnd"/>
      <w:r w:rsidR="00A66648" w:rsidRPr="005F0F6F">
        <w:rPr>
          <w:rFonts w:ascii="Calibri" w:hAnsi="Calibri"/>
          <w:bCs/>
          <w:sz w:val="21"/>
          <w:szCs w:val="21"/>
          <w:lang w:val="en-AU"/>
        </w:rPr>
        <w:t xml:space="preserve"> or staff member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is given a gift of 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>cultural signif</w:t>
      </w:r>
      <w:r w:rsidR="009E2324" w:rsidRPr="005F0F6F">
        <w:rPr>
          <w:rFonts w:ascii="Calibri" w:hAnsi="Calibri"/>
          <w:bCs/>
          <w:sz w:val="21"/>
          <w:szCs w:val="21"/>
          <w:lang w:val="en-AU"/>
        </w:rPr>
        <w:t>i</w:t>
      </w:r>
      <w:r w:rsidR="00A66648" w:rsidRPr="005F0F6F">
        <w:rPr>
          <w:rFonts w:ascii="Calibri" w:hAnsi="Calibri"/>
          <w:bCs/>
          <w:sz w:val="21"/>
          <w:szCs w:val="21"/>
          <w:lang w:val="en-AU"/>
        </w:rPr>
        <w:t>cance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, </w:t>
      </w:r>
      <w:r w:rsidR="00852E8D" w:rsidRPr="005F0F6F">
        <w:rPr>
          <w:rFonts w:ascii="Calibri" w:hAnsi="Calibri"/>
          <w:bCs/>
          <w:sz w:val="21"/>
          <w:szCs w:val="21"/>
          <w:lang w:val="en-AU"/>
        </w:rPr>
        <w:t xml:space="preserve">if not obvious it should be clarified whether the gift is for the organisation to retain in perpetuity or whether it pertains to an individual for the above-mentioned reasons.  For transparency, such matters, and the decision as to treatment of the gift, will be decided by the General Manager. </w:t>
      </w:r>
    </w:p>
    <w:p w14:paraId="2255DACD" w14:textId="77777777" w:rsidR="00337F34" w:rsidRPr="009E2324" w:rsidRDefault="00337F34" w:rsidP="005F0F6F">
      <w:pPr>
        <w:spacing w:after="24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bookmarkStart w:id="0" w:name="_Toc40246748"/>
      <w:bookmarkStart w:id="1" w:name="_Toc32993102"/>
      <w:r w:rsidRPr="009E2324">
        <w:rPr>
          <w:rFonts w:ascii="Calibri" w:hAnsi="Calibri"/>
          <w:b/>
          <w:bCs/>
          <w:color w:val="31849B"/>
          <w:sz w:val="24"/>
          <w:szCs w:val="24"/>
          <w:lang w:val="en-AU"/>
        </w:rPr>
        <w:t>Invitations</w:t>
      </w:r>
      <w:bookmarkEnd w:id="0"/>
      <w:bookmarkEnd w:id="1"/>
      <w:r w:rsidRPr="009E2324">
        <w:rPr>
          <w:rFonts w:ascii="Calibri" w:hAnsi="Calibri"/>
          <w:b/>
          <w:bCs/>
          <w:color w:val="31849B"/>
          <w:sz w:val="24"/>
          <w:szCs w:val="24"/>
          <w:lang w:val="en-AU"/>
        </w:rPr>
        <w:t xml:space="preserve"> to events</w:t>
      </w:r>
      <w:r w:rsidRPr="009E2324">
        <w:rPr>
          <w:rFonts w:ascii="Calibri" w:hAnsi="Calibri"/>
          <w:b/>
          <w:bCs/>
          <w:color w:val="31849B"/>
          <w:sz w:val="24"/>
          <w:szCs w:val="24"/>
          <w:lang w:val="en-AU"/>
        </w:rPr>
        <w:fldChar w:fldCharType="begin"/>
      </w:r>
      <w:r w:rsidRPr="009E2324">
        <w:rPr>
          <w:rFonts w:ascii="Calibri" w:hAnsi="Calibri"/>
          <w:b/>
          <w:bCs/>
          <w:color w:val="31849B"/>
          <w:sz w:val="24"/>
          <w:szCs w:val="24"/>
          <w:lang w:val="en-AU"/>
        </w:rPr>
        <w:instrText xml:space="preserve"> XE "Invitations" </w:instrText>
      </w:r>
      <w:r w:rsidRPr="009E2324">
        <w:rPr>
          <w:rFonts w:ascii="Calibri" w:hAnsi="Calibri"/>
          <w:b/>
          <w:bCs/>
          <w:color w:val="31849B"/>
          <w:sz w:val="24"/>
          <w:szCs w:val="24"/>
          <w:lang w:val="en-AU"/>
        </w:rPr>
        <w:fldChar w:fldCharType="end"/>
      </w:r>
    </w:p>
    <w:p w14:paraId="2255DACE" w14:textId="77777777" w:rsidR="0081524F" w:rsidRPr="005F0F6F" w:rsidRDefault="009B22E8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S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taff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and Members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>may receive invitations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to attend various functions and events.  In considering any invitation for hospitality, the nature of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the Commission’s </w:t>
      </w:r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relationship with the party extending the invitation is central in deciding </w:t>
      </w:r>
      <w:proofErr w:type="gramStart"/>
      <w:r w:rsidR="00337F34" w:rsidRPr="005F0F6F">
        <w:rPr>
          <w:rFonts w:ascii="Calibri" w:hAnsi="Calibri"/>
          <w:bCs/>
          <w:sz w:val="21"/>
          <w:szCs w:val="21"/>
          <w:lang w:val="en-AU"/>
        </w:rPr>
        <w:t>whether or not</w:t>
      </w:r>
      <w:proofErr w:type="gramEnd"/>
      <w:r w:rsidR="00337F34" w:rsidRPr="005F0F6F">
        <w:rPr>
          <w:rFonts w:ascii="Calibri" w:hAnsi="Calibri"/>
          <w:bCs/>
          <w:sz w:val="21"/>
          <w:szCs w:val="21"/>
          <w:lang w:val="en-AU"/>
        </w:rPr>
        <w:t xml:space="preserve"> is appropriate to accept.</w:t>
      </w:r>
    </w:p>
    <w:p w14:paraId="2255DACF" w14:textId="77777777" w:rsidR="00C1765C" w:rsidRPr="005F0F6F" w:rsidRDefault="008E21A3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Members and staff represent the Commission at various events. In most instances, it will be important that they attend these events</w:t>
      </w:r>
      <w:r w:rsidR="00C1765C" w:rsidRPr="005F0F6F">
        <w:rPr>
          <w:rFonts w:ascii="Calibri" w:hAnsi="Calibri"/>
          <w:bCs/>
          <w:sz w:val="21"/>
          <w:szCs w:val="21"/>
          <w:lang w:val="en-AU"/>
        </w:rPr>
        <w:t>,</w:t>
      </w:r>
      <w:r w:rsidR="009B22E8"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  <w:r w:rsidR="00C1765C" w:rsidRPr="005F0F6F">
        <w:rPr>
          <w:rFonts w:ascii="Calibri" w:hAnsi="Calibri"/>
          <w:bCs/>
          <w:sz w:val="21"/>
          <w:szCs w:val="21"/>
          <w:lang w:val="en-AU"/>
        </w:rPr>
        <w:t xml:space="preserve">for </w:t>
      </w:r>
      <w:proofErr w:type="gramStart"/>
      <w:r w:rsidR="00C1765C" w:rsidRPr="005F0F6F">
        <w:rPr>
          <w:rFonts w:ascii="Calibri" w:hAnsi="Calibri"/>
          <w:bCs/>
          <w:sz w:val="21"/>
          <w:szCs w:val="21"/>
          <w:lang w:val="en-AU"/>
        </w:rPr>
        <w:t>example;</w:t>
      </w:r>
      <w:proofErr w:type="gramEnd"/>
      <w:r w:rsidR="00C1765C" w:rsidRPr="005F0F6F">
        <w:rPr>
          <w:rFonts w:ascii="Calibri" w:hAnsi="Calibri"/>
          <w:bCs/>
          <w:sz w:val="21"/>
          <w:szCs w:val="21"/>
          <w:lang w:val="en-AU"/>
        </w:rPr>
        <w:t xml:space="preserve"> where it is of benefit to the Commission that they attend or it is necessary for them in undertaking their role, and there is a clear link between the hospitality and their role in representing the Commission. </w:t>
      </w:r>
    </w:p>
    <w:p w14:paraId="2255DAD0" w14:textId="77777777" w:rsidR="0081524F" w:rsidRPr="005F0F6F" w:rsidRDefault="0081524F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In cases where there could be a perception of conflict of interest arising, </w:t>
      </w:r>
      <w:r w:rsidR="00C1765C" w:rsidRPr="005F0F6F">
        <w:rPr>
          <w:rFonts w:ascii="Calibri" w:hAnsi="Calibri"/>
          <w:bCs/>
          <w:sz w:val="21"/>
          <w:szCs w:val="21"/>
          <w:lang w:val="en-AU"/>
        </w:rPr>
        <w:t xml:space="preserve">for example </w:t>
      </w:r>
      <w:r w:rsidRPr="005F0F6F">
        <w:rPr>
          <w:rFonts w:ascii="Calibri" w:hAnsi="Calibri"/>
          <w:bCs/>
          <w:sz w:val="21"/>
          <w:szCs w:val="21"/>
          <w:lang w:val="en-AU"/>
        </w:rPr>
        <w:t>such as hospitality from service providers or suppliers during procurement negotiations, the invitation should be declined.</w:t>
      </w:r>
    </w:p>
    <w:p w14:paraId="2255DAD1" w14:textId="77777777" w:rsidR="0081524F" w:rsidRPr="005F0F6F" w:rsidRDefault="0081524F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Prior to the event, Members must advise the Chair</w:t>
      </w:r>
      <w:r w:rsidR="00852E8D" w:rsidRPr="005F0F6F">
        <w:rPr>
          <w:rFonts w:ascii="Calibri" w:hAnsi="Calibri"/>
          <w:bCs/>
          <w:sz w:val="21"/>
          <w:szCs w:val="21"/>
          <w:lang w:val="en-AU"/>
        </w:rPr>
        <w:t>,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and staff must advise the General Manager</w:t>
      </w:r>
      <w:r w:rsidR="00852E8D" w:rsidRPr="005F0F6F">
        <w:rPr>
          <w:rFonts w:ascii="Calibri" w:hAnsi="Calibri"/>
          <w:bCs/>
          <w:sz w:val="21"/>
          <w:szCs w:val="21"/>
          <w:lang w:val="en-AU"/>
        </w:rPr>
        <w:t>,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 of any invitations to any event they wish to accept. If there is a prospect of the invitation being perceived as a risk of compromising the Member or staff member, the advice will be to not accept the invitation. </w:t>
      </w:r>
    </w:p>
    <w:p w14:paraId="2255DAD2" w14:textId="77777777" w:rsidR="00337F34" w:rsidRPr="005F0F6F" w:rsidRDefault="00337F34" w:rsidP="005F0F6F">
      <w:pPr>
        <w:spacing w:after="24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Any invitation for hospitality </w:t>
      </w:r>
      <w:r w:rsidR="0081524F" w:rsidRPr="005F0F6F">
        <w:rPr>
          <w:rFonts w:ascii="Calibri" w:hAnsi="Calibri"/>
          <w:bCs/>
          <w:sz w:val="21"/>
          <w:szCs w:val="21"/>
          <w:lang w:val="en-AU"/>
        </w:rPr>
        <w:t xml:space="preserve">which is accepted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is to be declared and recorded on the </w:t>
      </w:r>
      <w:r w:rsidR="005E7F15" w:rsidRPr="005F0F6F">
        <w:rPr>
          <w:rFonts w:ascii="Calibri" w:hAnsi="Calibri"/>
          <w:bCs/>
          <w:sz w:val="21"/>
          <w:szCs w:val="21"/>
          <w:lang w:val="en-AU"/>
        </w:rPr>
        <w:t>G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ift </w:t>
      </w:r>
      <w:r w:rsidR="005E7F15" w:rsidRPr="005F0F6F">
        <w:rPr>
          <w:rFonts w:ascii="Calibri" w:hAnsi="Calibri"/>
          <w:bCs/>
          <w:sz w:val="21"/>
          <w:szCs w:val="21"/>
          <w:lang w:val="en-AU"/>
        </w:rPr>
        <w:t>R</w:t>
      </w:r>
      <w:r w:rsidRPr="005F0F6F">
        <w:rPr>
          <w:rFonts w:ascii="Calibri" w:hAnsi="Calibri"/>
          <w:bCs/>
          <w:sz w:val="21"/>
          <w:szCs w:val="21"/>
          <w:lang w:val="en-AU"/>
        </w:rPr>
        <w:t>egister.  A list of annual approved events will also be maintained and updated.</w:t>
      </w:r>
    </w:p>
    <w:p w14:paraId="2255DAD3" w14:textId="77777777" w:rsidR="00337F34" w:rsidRPr="005F0F6F" w:rsidRDefault="00337F34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If attendance at a function has been approved, then attendees </w:t>
      </w:r>
      <w:r w:rsidR="005E7F15" w:rsidRPr="005F0F6F">
        <w:rPr>
          <w:rFonts w:ascii="Calibri" w:hAnsi="Calibri"/>
          <w:bCs/>
          <w:sz w:val="21"/>
          <w:szCs w:val="21"/>
          <w:lang w:val="en-AU"/>
        </w:rPr>
        <w:t xml:space="preserve">should </w:t>
      </w:r>
      <w:r w:rsidR="008E21A3" w:rsidRPr="005F0F6F">
        <w:rPr>
          <w:rFonts w:ascii="Calibri" w:hAnsi="Calibri"/>
          <w:bCs/>
          <w:sz w:val="21"/>
          <w:szCs w:val="21"/>
          <w:lang w:val="en-AU"/>
        </w:rPr>
        <w:t xml:space="preserve">remain conscious of their obligation to maintain the impartiality and objectivity of the Commission </w:t>
      </w:r>
      <w:r w:rsidRPr="005F0F6F">
        <w:rPr>
          <w:rFonts w:ascii="Calibri" w:hAnsi="Calibri"/>
          <w:bCs/>
          <w:sz w:val="21"/>
          <w:szCs w:val="21"/>
          <w:lang w:val="en-AU"/>
        </w:rPr>
        <w:t xml:space="preserve">and expectations about appropriate conduct apply, particularly </w:t>
      </w:r>
      <w:proofErr w:type="gramStart"/>
      <w:r w:rsidRPr="005F0F6F">
        <w:rPr>
          <w:rFonts w:ascii="Calibri" w:hAnsi="Calibri"/>
          <w:bCs/>
          <w:sz w:val="21"/>
          <w:szCs w:val="21"/>
          <w:lang w:val="en-AU"/>
        </w:rPr>
        <w:t>with regard to</w:t>
      </w:r>
      <w:proofErr w:type="gramEnd"/>
      <w:r w:rsidRPr="005F0F6F">
        <w:rPr>
          <w:rFonts w:ascii="Calibri" w:hAnsi="Calibri"/>
          <w:bCs/>
          <w:sz w:val="21"/>
          <w:szCs w:val="21"/>
          <w:lang w:val="en-AU"/>
        </w:rPr>
        <w:t xml:space="preserve"> the consumption of alcohol.</w:t>
      </w:r>
      <w:r w:rsidR="008E21A3" w:rsidRPr="005F0F6F">
        <w:rPr>
          <w:rFonts w:ascii="Calibri" w:hAnsi="Calibri"/>
          <w:bCs/>
          <w:sz w:val="21"/>
          <w:szCs w:val="21"/>
          <w:lang w:val="en-AU"/>
        </w:rPr>
        <w:t xml:space="preserve"> </w:t>
      </w:r>
      <w:r w:rsidR="00852E8D" w:rsidRPr="005F0F6F">
        <w:rPr>
          <w:rFonts w:ascii="Calibri" w:hAnsi="Calibri"/>
          <w:bCs/>
          <w:sz w:val="21"/>
          <w:szCs w:val="21"/>
          <w:lang w:val="en-AU"/>
        </w:rPr>
        <w:t xml:space="preserve"> Further, given attendance pertains to generating some work benefits, attendees should be prepared to explain those work benefits post-attendance, such as through sharing information with their manager or across their team. </w:t>
      </w:r>
    </w:p>
    <w:p w14:paraId="2255DAD4" w14:textId="77777777" w:rsidR="00381EEF" w:rsidRPr="00381EEF" w:rsidRDefault="00381EEF" w:rsidP="005F0F6F">
      <w:pPr>
        <w:spacing w:after="24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 w:rsidRPr="00381EEF">
        <w:rPr>
          <w:rFonts w:ascii="Calibri" w:hAnsi="Calibri"/>
          <w:b/>
          <w:bCs/>
          <w:color w:val="31849B"/>
          <w:sz w:val="24"/>
          <w:szCs w:val="24"/>
          <w:lang w:val="en-AU"/>
        </w:rPr>
        <w:t>Review</w:t>
      </w:r>
    </w:p>
    <w:p w14:paraId="2255DAD5" w14:textId="77777777" w:rsidR="00BF75EA" w:rsidRPr="005F0F6F" w:rsidRDefault="00BF75EA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>This policy will be reviewed by the General Manager annually.</w:t>
      </w:r>
    </w:p>
    <w:p w14:paraId="2255DAD6" w14:textId="77777777" w:rsidR="00381EEF" w:rsidRPr="00381EEF" w:rsidRDefault="00381EEF" w:rsidP="005F0F6F">
      <w:pPr>
        <w:spacing w:after="24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 w:rsidRPr="00381EEF">
        <w:rPr>
          <w:rFonts w:ascii="Calibri" w:hAnsi="Calibri"/>
          <w:b/>
          <w:bCs/>
          <w:color w:val="31849B"/>
          <w:sz w:val="24"/>
          <w:szCs w:val="24"/>
          <w:lang w:val="en-AU"/>
        </w:rPr>
        <w:t>Approval</w:t>
      </w:r>
    </w:p>
    <w:p w14:paraId="2255DAD7" w14:textId="77777777" w:rsidR="00381EEF" w:rsidRPr="005F0F6F" w:rsidRDefault="00BF75EA" w:rsidP="005F0F6F">
      <w:pPr>
        <w:spacing w:after="480"/>
        <w:jc w:val="both"/>
        <w:rPr>
          <w:rFonts w:ascii="Calibri" w:hAnsi="Calibri"/>
          <w:bCs/>
          <w:sz w:val="21"/>
          <w:szCs w:val="21"/>
          <w:lang w:val="en-AU"/>
        </w:rPr>
      </w:pPr>
      <w:r w:rsidRPr="005F0F6F">
        <w:rPr>
          <w:rFonts w:ascii="Calibri" w:hAnsi="Calibri"/>
          <w:bCs/>
          <w:sz w:val="21"/>
          <w:szCs w:val="21"/>
          <w:lang w:val="en-AU"/>
        </w:rPr>
        <w:t xml:space="preserve">Approved by the Board on </w:t>
      </w:r>
      <w:r w:rsidR="00AF1D99" w:rsidRPr="005F0F6F">
        <w:rPr>
          <w:rFonts w:ascii="Calibri" w:hAnsi="Calibri"/>
          <w:bCs/>
          <w:sz w:val="21"/>
          <w:szCs w:val="21"/>
          <w:lang w:val="en-AU"/>
        </w:rPr>
        <w:t>18 May 2011</w:t>
      </w:r>
      <w:r w:rsidRPr="005F0F6F">
        <w:rPr>
          <w:rFonts w:ascii="Calibri" w:hAnsi="Calibri"/>
          <w:bCs/>
          <w:sz w:val="21"/>
          <w:szCs w:val="21"/>
          <w:lang w:val="en-AU"/>
        </w:rPr>
        <w:t>.</w:t>
      </w:r>
    </w:p>
    <w:p w14:paraId="6C10651B" w14:textId="77777777" w:rsidR="005F0F6F" w:rsidRDefault="005F0F6F">
      <w:pPr>
        <w:spacing w:after="200" w:line="276" w:lineRule="auto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>
        <w:rPr>
          <w:rFonts w:ascii="Calibri" w:hAnsi="Calibri"/>
          <w:b/>
          <w:bCs/>
          <w:color w:val="31849B"/>
          <w:sz w:val="24"/>
          <w:szCs w:val="24"/>
          <w:lang w:val="en-AU"/>
        </w:rPr>
        <w:br w:type="page"/>
      </w:r>
    </w:p>
    <w:p w14:paraId="2255DAD8" w14:textId="0E5B9FDC" w:rsidR="00AC5971" w:rsidRDefault="00AC5971" w:rsidP="008C1340">
      <w:pPr>
        <w:spacing w:after="20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 w:rsidRPr="0049362C">
        <w:rPr>
          <w:rFonts w:ascii="Calibri" w:hAnsi="Calibri"/>
          <w:b/>
          <w:bCs/>
          <w:color w:val="31849B"/>
          <w:sz w:val="24"/>
          <w:szCs w:val="24"/>
          <w:lang w:val="en-AU"/>
        </w:rPr>
        <w:lastRenderedPageBreak/>
        <w:t xml:space="preserve">Document </w:t>
      </w:r>
      <w:r w:rsidR="0029675D">
        <w:rPr>
          <w:rFonts w:ascii="Calibri" w:hAnsi="Calibri"/>
          <w:b/>
          <w:bCs/>
          <w:color w:val="31849B"/>
          <w:sz w:val="24"/>
          <w:szCs w:val="24"/>
          <w:lang w:val="en-AU"/>
        </w:rPr>
        <w:t>h</w:t>
      </w:r>
      <w:r w:rsidRPr="0049362C">
        <w:rPr>
          <w:rFonts w:ascii="Calibri" w:hAnsi="Calibri"/>
          <w:b/>
          <w:bCs/>
          <w:color w:val="31849B"/>
          <w:sz w:val="24"/>
          <w:szCs w:val="24"/>
          <w:lang w:val="en-AU"/>
        </w:rPr>
        <w:t>istory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7"/>
        <w:gridCol w:w="1780"/>
        <w:gridCol w:w="2461"/>
        <w:gridCol w:w="1795"/>
        <w:gridCol w:w="1953"/>
      </w:tblGrid>
      <w:tr w:rsidR="00AC5971" w:rsidRPr="005F0F6F" w14:paraId="2255DADE" w14:textId="77777777" w:rsidTr="005F0F6F">
        <w:tc>
          <w:tcPr>
            <w:tcW w:w="959" w:type="dxa"/>
            <w:shd w:val="clear" w:color="auto" w:fill="F2F2F2" w:themeFill="background1" w:themeFillShade="F2"/>
          </w:tcPr>
          <w:p w14:paraId="2255DAD9" w14:textId="77777777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color w:val="31849B"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Version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DA" w14:textId="77777777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Updated By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255DADB" w14:textId="77777777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Reason for Update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DC" w14:textId="77777777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Consultation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2255DADD" w14:textId="77777777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Date</w:t>
            </w:r>
          </w:p>
        </w:tc>
      </w:tr>
      <w:tr w:rsidR="00AC5971" w:rsidRPr="005F0F6F" w14:paraId="2255DAE5" w14:textId="77777777" w:rsidTr="005F0F6F">
        <w:tc>
          <w:tcPr>
            <w:tcW w:w="959" w:type="dxa"/>
            <w:shd w:val="clear" w:color="auto" w:fill="F2F2F2" w:themeFill="background1" w:themeFillShade="F2"/>
          </w:tcPr>
          <w:p w14:paraId="2255DADF" w14:textId="26EEF4C8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0.1</w:t>
            </w:r>
            <w:r w:rsidR="00E91729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E0" w14:textId="77777777" w:rsidR="00AC5971" w:rsidRPr="005F0F6F" w:rsidRDefault="00C1765C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Gary Delbridge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255DAE1" w14:textId="77777777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Draft for Management Consideration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E2" w14:textId="77777777" w:rsidR="00AC5971" w:rsidRPr="005F0F6F" w:rsidRDefault="00C1765C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 xml:space="preserve">General </w:t>
            </w:r>
            <w:r w:rsidR="00AC5971"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Manager</w:t>
            </w:r>
          </w:p>
          <w:p w14:paraId="2255DAE3" w14:textId="77777777" w:rsidR="00BF75EA" w:rsidRPr="005F0F6F" w:rsidRDefault="00BF75EA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14:paraId="2255DAE4" w14:textId="77777777" w:rsidR="00AC5971" w:rsidRPr="005F0F6F" w:rsidRDefault="00C1765C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5 May 2011</w:t>
            </w:r>
          </w:p>
        </w:tc>
      </w:tr>
      <w:tr w:rsidR="00AC5971" w:rsidRPr="005F0F6F" w14:paraId="2255DAEB" w14:textId="77777777" w:rsidTr="005F0F6F">
        <w:tc>
          <w:tcPr>
            <w:tcW w:w="959" w:type="dxa"/>
            <w:shd w:val="clear" w:color="auto" w:fill="F2F2F2" w:themeFill="background1" w:themeFillShade="F2"/>
          </w:tcPr>
          <w:p w14:paraId="2255DAE6" w14:textId="38315BE6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1.0</w:t>
            </w:r>
            <w:r w:rsidR="00E91729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E7" w14:textId="77777777" w:rsidR="00AC5971" w:rsidRPr="005F0F6F" w:rsidRDefault="0002503C" w:rsidP="005F0F6F">
            <w:pPr>
              <w:spacing w:before="120" w:after="120"/>
              <w:rPr>
                <w:sz w:val="18"/>
                <w:szCs w:val="18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Gary Delbridge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255DAE8" w14:textId="77777777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Approved by</w:t>
            </w:r>
            <w:r w:rsidR="00BF75EA"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 xml:space="preserve"> the Board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E9" w14:textId="3AC57E12" w:rsidR="00AC5971" w:rsidRPr="005F0F6F" w:rsidRDefault="00D9193E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Assurance Committee &amp; Board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2255DAEA" w14:textId="77777777" w:rsidR="00AC5971" w:rsidRPr="005F0F6F" w:rsidRDefault="00AF1D99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18 May 2011</w:t>
            </w:r>
          </w:p>
        </w:tc>
      </w:tr>
      <w:tr w:rsidR="00AC5971" w:rsidRPr="005F0F6F" w14:paraId="2255DAF1" w14:textId="77777777" w:rsidTr="005F0F6F">
        <w:tc>
          <w:tcPr>
            <w:tcW w:w="959" w:type="dxa"/>
            <w:shd w:val="clear" w:color="auto" w:fill="F2F2F2" w:themeFill="background1" w:themeFillShade="F2"/>
          </w:tcPr>
          <w:p w14:paraId="2255DAEC" w14:textId="589F45B8" w:rsidR="00AC5971" w:rsidRPr="005F0F6F" w:rsidRDefault="00AC597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1.1</w:t>
            </w:r>
            <w:r w:rsidR="00E91729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ED" w14:textId="63F90AC9" w:rsidR="00AC5971" w:rsidRPr="005F0F6F" w:rsidRDefault="00676327" w:rsidP="005F0F6F">
            <w:pPr>
              <w:spacing w:before="120" w:after="120"/>
              <w:rPr>
                <w:sz w:val="18"/>
                <w:szCs w:val="18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Peter Alsop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255DAEE" w14:textId="77777777" w:rsidR="00AC5971" w:rsidRPr="005F0F6F" w:rsidRDefault="00BF75EA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R</w:t>
            </w:r>
            <w:r w:rsidR="00AC5971"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eview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55DAEF" w14:textId="4582390D" w:rsidR="00AC5971" w:rsidRPr="005F0F6F" w:rsidRDefault="00676327" w:rsidP="00D9193E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Assurance Committee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2255DAF0" w14:textId="043075CB" w:rsidR="00AC5971" w:rsidRPr="005F0F6F" w:rsidRDefault="00676327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14 March 2013</w:t>
            </w:r>
          </w:p>
        </w:tc>
      </w:tr>
      <w:tr w:rsidR="00676327" w:rsidRPr="005F0F6F" w14:paraId="505387DD" w14:textId="77777777" w:rsidTr="005F0F6F">
        <w:tc>
          <w:tcPr>
            <w:tcW w:w="959" w:type="dxa"/>
            <w:shd w:val="clear" w:color="auto" w:fill="F2F2F2" w:themeFill="background1" w:themeFillShade="F2"/>
          </w:tcPr>
          <w:p w14:paraId="174C5001" w14:textId="71428267" w:rsidR="00676327" w:rsidRPr="005F0F6F" w:rsidRDefault="00676327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1.2</w:t>
            </w:r>
            <w:r w:rsidR="00E91729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A5F17B" w14:textId="1A86A71B" w:rsidR="00676327" w:rsidRPr="005F0F6F" w:rsidRDefault="00D9193E" w:rsidP="005F0F6F">
            <w:pPr>
              <w:spacing w:before="120" w:after="12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Daiman Smith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A2DE196" w14:textId="6A0B99AC" w:rsidR="00676327" w:rsidRPr="005F0F6F" w:rsidRDefault="00676327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Review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341288" w14:textId="5DE00E49" w:rsidR="00676327" w:rsidRPr="005F0F6F" w:rsidRDefault="005916C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Assurance Committee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11B7B97C" w14:textId="39FC2705" w:rsidR="00676327" w:rsidRPr="005F0F6F" w:rsidRDefault="005916C1" w:rsidP="005F0F6F">
            <w:pPr>
              <w:spacing w:before="120" w:after="120"/>
              <w:outlineLvl w:val="0"/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</w:pPr>
            <w:r w:rsidRPr="005F0F6F">
              <w:rPr>
                <w:rFonts w:ascii="Calibri" w:hAnsi="Calibri"/>
                <w:bCs/>
                <w:kern w:val="36"/>
                <w:sz w:val="18"/>
                <w:szCs w:val="18"/>
                <w:lang w:val="en-AU"/>
              </w:rPr>
              <w:t>4 March 2015</w:t>
            </w:r>
          </w:p>
        </w:tc>
      </w:tr>
    </w:tbl>
    <w:p w14:paraId="2255DAF4" w14:textId="77777777" w:rsidR="00381EEF" w:rsidRPr="00381EEF" w:rsidRDefault="00381EEF" w:rsidP="005F0F6F">
      <w:pPr>
        <w:spacing w:before="480" w:after="360"/>
        <w:jc w:val="both"/>
        <w:rPr>
          <w:rFonts w:ascii="Calibri" w:hAnsi="Calibri"/>
          <w:b/>
          <w:bCs/>
          <w:color w:val="31849B"/>
          <w:sz w:val="24"/>
          <w:szCs w:val="24"/>
          <w:lang w:val="en-AU"/>
        </w:rPr>
      </w:pPr>
      <w:r w:rsidRPr="00381EEF">
        <w:rPr>
          <w:rFonts w:ascii="Calibri" w:hAnsi="Calibri"/>
          <w:b/>
          <w:bCs/>
          <w:color w:val="31849B"/>
          <w:sz w:val="24"/>
          <w:szCs w:val="24"/>
          <w:lang w:val="en-AU"/>
        </w:rPr>
        <w:t>References</w:t>
      </w:r>
    </w:p>
    <w:p w14:paraId="2255DAF5" w14:textId="77777777" w:rsidR="002242F1" w:rsidRPr="002242F1" w:rsidRDefault="00381EEF" w:rsidP="005F0F6F">
      <w:pPr>
        <w:spacing w:after="240"/>
        <w:jc w:val="both"/>
        <w:rPr>
          <w:rFonts w:ascii="Calibri" w:hAnsi="Calibri"/>
          <w:bCs/>
          <w:sz w:val="22"/>
          <w:szCs w:val="22"/>
          <w:lang w:val="en-AU"/>
        </w:rPr>
      </w:pPr>
      <w:r w:rsidRPr="00551820">
        <w:rPr>
          <w:rFonts w:ascii="Calibri" w:hAnsi="Calibri"/>
          <w:bCs/>
          <w:sz w:val="22"/>
          <w:szCs w:val="22"/>
          <w:lang w:val="en-AU"/>
        </w:rPr>
        <w:t>R</w:t>
      </w:r>
      <w:r w:rsidR="00C1765C">
        <w:rPr>
          <w:rFonts w:ascii="Calibri" w:hAnsi="Calibri"/>
          <w:bCs/>
          <w:sz w:val="22"/>
          <w:szCs w:val="22"/>
          <w:lang w:val="en-AU"/>
        </w:rPr>
        <w:t>elated policies</w:t>
      </w:r>
      <w:r w:rsidRPr="00551820">
        <w:rPr>
          <w:rFonts w:ascii="Calibri" w:hAnsi="Calibri"/>
          <w:bCs/>
          <w:sz w:val="22"/>
          <w:szCs w:val="22"/>
          <w:lang w:val="en-AU"/>
        </w:rPr>
        <w:t xml:space="preserve"> </w:t>
      </w:r>
    </w:p>
    <w:p w14:paraId="2255DAF6" w14:textId="77777777" w:rsidR="00C1765C" w:rsidRDefault="00C1765C" w:rsidP="005F0F6F">
      <w:pPr>
        <w:numPr>
          <w:ilvl w:val="0"/>
          <w:numId w:val="8"/>
        </w:numPr>
        <w:spacing w:after="240"/>
        <w:ind w:left="714" w:hanging="357"/>
        <w:jc w:val="both"/>
        <w:rPr>
          <w:rFonts w:ascii="Calibri" w:hAnsi="Calibri"/>
          <w:bCs/>
          <w:sz w:val="22"/>
          <w:szCs w:val="22"/>
          <w:lang w:val="en-AU"/>
        </w:rPr>
      </w:pPr>
      <w:r w:rsidRPr="00C1765C">
        <w:rPr>
          <w:rFonts w:ascii="Calibri" w:hAnsi="Calibri"/>
          <w:bCs/>
          <w:sz w:val="22"/>
          <w:szCs w:val="22"/>
          <w:lang w:val="en-AU"/>
        </w:rPr>
        <w:t>Conflicts of Interest</w:t>
      </w:r>
    </w:p>
    <w:p w14:paraId="2255DAF7" w14:textId="77777777" w:rsidR="00381EEF" w:rsidRPr="00C1765C" w:rsidRDefault="00C1765C" w:rsidP="005F0F6F">
      <w:pPr>
        <w:numPr>
          <w:ilvl w:val="0"/>
          <w:numId w:val="8"/>
        </w:numPr>
        <w:spacing w:after="240"/>
        <w:ind w:left="714" w:hanging="357"/>
        <w:jc w:val="both"/>
        <w:rPr>
          <w:rFonts w:ascii="Calibri" w:hAnsi="Calibri"/>
          <w:bCs/>
          <w:sz w:val="22"/>
          <w:szCs w:val="22"/>
          <w:lang w:val="en-AU"/>
        </w:rPr>
      </w:pPr>
      <w:r>
        <w:rPr>
          <w:rFonts w:ascii="Calibri" w:hAnsi="Calibri"/>
          <w:bCs/>
          <w:sz w:val="22"/>
          <w:szCs w:val="22"/>
          <w:lang w:val="en-AU"/>
        </w:rPr>
        <w:t>Code of Conduct</w:t>
      </w:r>
    </w:p>
    <w:p w14:paraId="2255DAF8" w14:textId="77777777" w:rsidR="00C1765C" w:rsidRDefault="00C1765C" w:rsidP="005F0F6F">
      <w:pPr>
        <w:numPr>
          <w:ilvl w:val="0"/>
          <w:numId w:val="8"/>
        </w:numPr>
        <w:spacing w:after="360"/>
        <w:ind w:left="714" w:hanging="357"/>
        <w:jc w:val="both"/>
        <w:rPr>
          <w:rFonts w:ascii="Calibri" w:hAnsi="Calibri"/>
          <w:bCs/>
          <w:sz w:val="22"/>
          <w:szCs w:val="22"/>
          <w:lang w:val="en-AU"/>
        </w:rPr>
      </w:pPr>
      <w:r w:rsidRPr="00C1765C">
        <w:rPr>
          <w:rFonts w:ascii="Calibri" w:hAnsi="Calibri"/>
          <w:bCs/>
          <w:sz w:val="22"/>
          <w:szCs w:val="22"/>
          <w:lang w:val="en-AU"/>
        </w:rPr>
        <w:t>Sensitive and Discretionary Expenditu</w:t>
      </w:r>
      <w:r w:rsidR="00B4628A">
        <w:rPr>
          <w:rFonts w:ascii="Calibri" w:hAnsi="Calibri"/>
          <w:bCs/>
          <w:sz w:val="22"/>
          <w:szCs w:val="22"/>
          <w:lang w:val="en-AU"/>
        </w:rPr>
        <w:t>r</w:t>
      </w:r>
      <w:r w:rsidRPr="00C1765C">
        <w:rPr>
          <w:rFonts w:ascii="Calibri" w:hAnsi="Calibri"/>
          <w:bCs/>
          <w:sz w:val="22"/>
          <w:szCs w:val="22"/>
          <w:lang w:val="en-AU"/>
        </w:rPr>
        <w:t>e</w:t>
      </w:r>
    </w:p>
    <w:p w14:paraId="2255DAF9" w14:textId="77777777" w:rsidR="002E1E2A" w:rsidRPr="00551820" w:rsidRDefault="00551820" w:rsidP="005F0F6F">
      <w:pPr>
        <w:spacing w:after="240"/>
        <w:jc w:val="both"/>
        <w:rPr>
          <w:rFonts w:ascii="Calibri" w:hAnsi="Calibri"/>
          <w:bCs/>
          <w:sz w:val="22"/>
          <w:szCs w:val="22"/>
          <w:lang w:val="en-AU"/>
        </w:rPr>
      </w:pPr>
      <w:r>
        <w:rPr>
          <w:rFonts w:ascii="Calibri" w:hAnsi="Calibri"/>
          <w:bCs/>
          <w:sz w:val="22"/>
          <w:szCs w:val="22"/>
          <w:lang w:val="en-AU"/>
        </w:rPr>
        <w:t>Reference to external sources</w:t>
      </w:r>
    </w:p>
    <w:p w14:paraId="2255DAFA" w14:textId="77777777" w:rsidR="00551820" w:rsidRPr="00551820" w:rsidRDefault="00B4777D" w:rsidP="00551820">
      <w:pPr>
        <w:numPr>
          <w:ilvl w:val="0"/>
          <w:numId w:val="8"/>
        </w:numPr>
        <w:spacing w:after="200"/>
        <w:ind w:left="714" w:hanging="357"/>
        <w:jc w:val="both"/>
        <w:rPr>
          <w:rFonts w:ascii="Calibri" w:hAnsi="Calibri"/>
          <w:bCs/>
          <w:sz w:val="22"/>
          <w:szCs w:val="22"/>
          <w:lang w:val="en-AU"/>
        </w:rPr>
      </w:pPr>
      <w:r>
        <w:rPr>
          <w:rFonts w:ascii="Calibri" w:hAnsi="Calibri"/>
          <w:bCs/>
          <w:sz w:val="22"/>
          <w:szCs w:val="22"/>
          <w:lang w:val="en-AU"/>
        </w:rPr>
        <w:t>Office of the Auditor-General Good Practice Guide: Controlling sensitive expenditure.</w:t>
      </w:r>
    </w:p>
    <w:sectPr w:rsidR="00551820" w:rsidRPr="005518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BE99" w14:textId="77777777" w:rsidR="00276F1D" w:rsidRDefault="00276F1D" w:rsidP="00DC597C">
      <w:r>
        <w:separator/>
      </w:r>
    </w:p>
  </w:endnote>
  <w:endnote w:type="continuationSeparator" w:id="0">
    <w:p w14:paraId="2481C58C" w14:textId="77777777" w:rsidR="00276F1D" w:rsidRDefault="00276F1D" w:rsidP="00D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1765" w14:textId="77777777" w:rsidR="00081239" w:rsidRDefault="00081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F3E2" w14:textId="361EAB0B" w:rsidR="005F0F6F" w:rsidRPr="005F0F6F" w:rsidRDefault="005F0F6F">
    <w:pPr>
      <w:pStyle w:val="Footer"/>
      <w:jc w:val="right"/>
      <w:rPr>
        <w:rFonts w:asciiTheme="minorHAnsi" w:hAnsiTheme="minorHAnsi"/>
        <w:sz w:val="18"/>
        <w:szCs w:val="18"/>
      </w:rPr>
    </w:pPr>
    <w:r w:rsidRPr="005F0F6F">
      <w:rPr>
        <w:rFonts w:asciiTheme="minorHAnsi" w:hAnsiTheme="minorHAnsi"/>
        <w:sz w:val="18"/>
        <w:szCs w:val="18"/>
      </w:rPr>
      <w:t>New Zealand Productivity Commission</w:t>
    </w:r>
  </w:p>
  <w:p w14:paraId="5E63CF90" w14:textId="519495C5" w:rsidR="005F0F6F" w:rsidRPr="005F0F6F" w:rsidRDefault="005F0F6F">
    <w:pPr>
      <w:pStyle w:val="Footer"/>
      <w:jc w:val="right"/>
      <w:rPr>
        <w:rFonts w:asciiTheme="minorHAnsi" w:hAnsiTheme="minorHAnsi"/>
        <w:sz w:val="18"/>
        <w:szCs w:val="18"/>
      </w:rPr>
    </w:pPr>
    <w:r w:rsidRPr="005F0F6F">
      <w:rPr>
        <w:rFonts w:asciiTheme="minorHAnsi" w:hAnsiTheme="minorHAnsi"/>
        <w:sz w:val="18"/>
        <w:szCs w:val="18"/>
      </w:rPr>
      <w:t xml:space="preserve">Corporate &amp; Administrative Policy Series: </w:t>
    </w:r>
    <w:r w:rsidRPr="005F0F6F">
      <w:rPr>
        <w:rFonts w:asciiTheme="minorHAnsi" w:hAnsiTheme="minorHAnsi"/>
        <w:b/>
        <w:sz w:val="18"/>
        <w:szCs w:val="18"/>
      </w:rPr>
      <w:t xml:space="preserve">2.3. </w:t>
    </w:r>
    <w:r w:rsidRPr="005F0F6F">
      <w:rPr>
        <w:rFonts w:asciiTheme="minorHAnsi" w:hAnsiTheme="minorHAnsi"/>
        <w:b/>
        <w:sz w:val="18"/>
        <w:szCs w:val="18"/>
        <w:u w:val="single"/>
      </w:rPr>
      <w:t>ACCEPTING GIFTS &amp; HOSPITALITY</w:t>
    </w:r>
  </w:p>
  <w:p w14:paraId="43C4E258" w14:textId="0074C1B8" w:rsidR="005F0F6F" w:rsidRPr="005F0F6F" w:rsidRDefault="00D55BE9">
    <w:pPr>
      <w:pStyle w:val="Footer"/>
      <w:jc w:val="right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8798206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F0F6F" w:rsidRPr="005F0F6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081239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5F0F6F" w:rsidRPr="005F0F6F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081239">
              <w:rPr>
                <w:rFonts w:asciiTheme="minorHAnsi" w:hAnsiTheme="minorHAnsi"/>
                <w:bCs/>
                <w:noProof/>
                <w:sz w:val="18"/>
                <w:szCs w:val="18"/>
              </w:rPr>
              <w:t>4</w:t>
            </w:r>
            <w:r w:rsidR="005F0F6F" w:rsidRPr="005F0F6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255DB00" w14:textId="77777777" w:rsidR="009536FC" w:rsidRDefault="00953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F5F4" w14:textId="77777777" w:rsidR="00081239" w:rsidRDefault="0008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4E97" w14:textId="77777777" w:rsidR="00276F1D" w:rsidRDefault="00276F1D" w:rsidP="00DC597C">
      <w:r>
        <w:separator/>
      </w:r>
    </w:p>
  </w:footnote>
  <w:footnote w:type="continuationSeparator" w:id="0">
    <w:p w14:paraId="3D5DF776" w14:textId="77777777" w:rsidR="00276F1D" w:rsidRDefault="00276F1D" w:rsidP="00DC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7B78" w14:textId="77777777" w:rsidR="00081239" w:rsidRDefault="00081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6A6B" w14:textId="449C0C73" w:rsidR="00081239" w:rsidRPr="00081239" w:rsidRDefault="00081239" w:rsidP="00081239">
    <w:pPr>
      <w:pStyle w:val="Header"/>
      <w:jc w:val="right"/>
      <w:rPr>
        <w:rFonts w:asciiTheme="minorHAnsi" w:hAnsiTheme="minorHAnsi"/>
        <w:b/>
        <w:sz w:val="22"/>
        <w:szCs w:val="22"/>
      </w:rPr>
    </w:pPr>
    <w:r w:rsidRPr="00081239">
      <w:rPr>
        <w:rFonts w:asciiTheme="minorHAnsi" w:hAnsiTheme="minorHAnsi"/>
        <w:b/>
        <w:sz w:val="22"/>
        <w:szCs w:val="22"/>
      </w:rPr>
      <w:t>NZ Productivity Commission (Appendix to Qn 37 – Gifts and external relationships)</w:t>
    </w:r>
  </w:p>
  <w:p w14:paraId="67011B27" w14:textId="77777777" w:rsidR="00081239" w:rsidRDefault="00081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06ED" w14:textId="77777777" w:rsidR="00081239" w:rsidRDefault="00081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6D6"/>
    <w:multiLevelType w:val="hybridMultilevel"/>
    <w:tmpl w:val="2F6A80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66840"/>
    <w:multiLevelType w:val="hybridMultilevel"/>
    <w:tmpl w:val="86500CC4"/>
    <w:lvl w:ilvl="0" w:tplc="6450A5F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65FCB"/>
    <w:multiLevelType w:val="hybridMultilevel"/>
    <w:tmpl w:val="8EFAB9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752"/>
    <w:multiLevelType w:val="hybridMultilevel"/>
    <w:tmpl w:val="FFB68C7E"/>
    <w:lvl w:ilvl="0" w:tplc="64243196">
      <w:start w:val="4"/>
      <w:numFmt w:val="bullet"/>
      <w:lvlText w:val="•"/>
      <w:lvlJc w:val="left"/>
      <w:pPr>
        <w:ind w:left="720" w:hanging="720"/>
      </w:pPr>
      <w:rPr>
        <w:rFonts w:ascii="Calibri" w:eastAsia="SimSu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4C4A"/>
    <w:multiLevelType w:val="hybridMultilevel"/>
    <w:tmpl w:val="023C2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001D0"/>
    <w:multiLevelType w:val="hybridMultilevel"/>
    <w:tmpl w:val="48984DA4"/>
    <w:lvl w:ilvl="0" w:tplc="6450A5F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266B"/>
    <w:multiLevelType w:val="multilevel"/>
    <w:tmpl w:val="029C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6A0DE0"/>
    <w:multiLevelType w:val="multilevel"/>
    <w:tmpl w:val="0384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96A8C"/>
    <w:multiLevelType w:val="hybridMultilevel"/>
    <w:tmpl w:val="B9AC9566"/>
    <w:lvl w:ilvl="0" w:tplc="64243196">
      <w:start w:val="4"/>
      <w:numFmt w:val="bullet"/>
      <w:lvlText w:val="•"/>
      <w:lvlJc w:val="left"/>
      <w:pPr>
        <w:ind w:left="720" w:hanging="720"/>
      </w:pPr>
      <w:rPr>
        <w:rFonts w:ascii="Calibri" w:eastAsia="SimSu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55A9"/>
    <w:multiLevelType w:val="hybridMultilevel"/>
    <w:tmpl w:val="D51047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2BD"/>
    <w:multiLevelType w:val="hybridMultilevel"/>
    <w:tmpl w:val="530A1C3C"/>
    <w:lvl w:ilvl="0" w:tplc="4DDED49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3D6F3F"/>
    <w:multiLevelType w:val="hybridMultilevel"/>
    <w:tmpl w:val="1A00B6B8"/>
    <w:lvl w:ilvl="0" w:tplc="64243196">
      <w:start w:val="4"/>
      <w:numFmt w:val="bullet"/>
      <w:lvlText w:val="•"/>
      <w:lvlJc w:val="left"/>
      <w:pPr>
        <w:ind w:left="363" w:hanging="720"/>
      </w:pPr>
      <w:rPr>
        <w:rFonts w:ascii="Calibri" w:eastAsia="SimSu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A2"/>
    <w:rsid w:val="0002154F"/>
    <w:rsid w:val="0002503C"/>
    <w:rsid w:val="0007510F"/>
    <w:rsid w:val="00081239"/>
    <w:rsid w:val="0008795F"/>
    <w:rsid w:val="000C64A2"/>
    <w:rsid w:val="001832DD"/>
    <w:rsid w:val="00191209"/>
    <w:rsid w:val="001C7D06"/>
    <w:rsid w:val="00201C1C"/>
    <w:rsid w:val="002242F1"/>
    <w:rsid w:val="00276F1D"/>
    <w:rsid w:val="002959FE"/>
    <w:rsid w:val="0029675D"/>
    <w:rsid w:val="002A12BD"/>
    <w:rsid w:val="002C14CF"/>
    <w:rsid w:val="002E1E2A"/>
    <w:rsid w:val="00337F34"/>
    <w:rsid w:val="0035350F"/>
    <w:rsid w:val="00381EEF"/>
    <w:rsid w:val="003F6A82"/>
    <w:rsid w:val="00421557"/>
    <w:rsid w:val="00454AD8"/>
    <w:rsid w:val="00462A14"/>
    <w:rsid w:val="0049362C"/>
    <w:rsid w:val="004A7C70"/>
    <w:rsid w:val="004B2426"/>
    <w:rsid w:val="00551820"/>
    <w:rsid w:val="00587576"/>
    <w:rsid w:val="005916C1"/>
    <w:rsid w:val="005E7F15"/>
    <w:rsid w:val="005F0F6F"/>
    <w:rsid w:val="00641DE5"/>
    <w:rsid w:val="00651801"/>
    <w:rsid w:val="00676327"/>
    <w:rsid w:val="00682CAA"/>
    <w:rsid w:val="00686A16"/>
    <w:rsid w:val="006C23F3"/>
    <w:rsid w:val="006D0E90"/>
    <w:rsid w:val="006D6CAB"/>
    <w:rsid w:val="006F1E2E"/>
    <w:rsid w:val="00711051"/>
    <w:rsid w:val="007272A8"/>
    <w:rsid w:val="00740A1D"/>
    <w:rsid w:val="007603BA"/>
    <w:rsid w:val="00784C0E"/>
    <w:rsid w:val="007E49EF"/>
    <w:rsid w:val="008061DD"/>
    <w:rsid w:val="0081524F"/>
    <w:rsid w:val="00852E8D"/>
    <w:rsid w:val="008B6928"/>
    <w:rsid w:val="008C1340"/>
    <w:rsid w:val="008C697C"/>
    <w:rsid w:val="008D4893"/>
    <w:rsid w:val="008E21A3"/>
    <w:rsid w:val="008F06A5"/>
    <w:rsid w:val="00921B45"/>
    <w:rsid w:val="009536FC"/>
    <w:rsid w:val="00965704"/>
    <w:rsid w:val="009B22E8"/>
    <w:rsid w:val="009B6E6F"/>
    <w:rsid w:val="009D74F1"/>
    <w:rsid w:val="009E2324"/>
    <w:rsid w:val="009E7ECC"/>
    <w:rsid w:val="009F7EBF"/>
    <w:rsid w:val="00A5003C"/>
    <w:rsid w:val="00A66648"/>
    <w:rsid w:val="00AC5971"/>
    <w:rsid w:val="00AE5099"/>
    <w:rsid w:val="00AF1D99"/>
    <w:rsid w:val="00B368D0"/>
    <w:rsid w:val="00B43A94"/>
    <w:rsid w:val="00B4628A"/>
    <w:rsid w:val="00B4777D"/>
    <w:rsid w:val="00BA1A1E"/>
    <w:rsid w:val="00BA2AD8"/>
    <w:rsid w:val="00BB4897"/>
    <w:rsid w:val="00BC5C02"/>
    <w:rsid w:val="00BF75EA"/>
    <w:rsid w:val="00C1765C"/>
    <w:rsid w:val="00C242A5"/>
    <w:rsid w:val="00CC2CB5"/>
    <w:rsid w:val="00D12CD3"/>
    <w:rsid w:val="00D33BFC"/>
    <w:rsid w:val="00D9193E"/>
    <w:rsid w:val="00DC0539"/>
    <w:rsid w:val="00DC597C"/>
    <w:rsid w:val="00E057C8"/>
    <w:rsid w:val="00E2027A"/>
    <w:rsid w:val="00E2378C"/>
    <w:rsid w:val="00E42F6F"/>
    <w:rsid w:val="00E567B3"/>
    <w:rsid w:val="00E91729"/>
    <w:rsid w:val="00E95527"/>
    <w:rsid w:val="00FA7E13"/>
    <w:rsid w:val="00FC36C5"/>
    <w:rsid w:val="00FD58E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55DAAB"/>
  <w15:docId w15:val="{DBD666A4-698A-4B6E-89B2-7E5C6A12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7C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C5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7C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7C"/>
    <w:rPr>
      <w:rFonts w:ascii="Tahoma" w:eastAsia="SimSun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uiPriority w:val="59"/>
    <w:rsid w:val="0065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A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A1D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A1D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4f9c820c-e7e2-444d-97ee-45f2b3485c1d">Accountability</Function>
    <Project xmlns="4f9c820c-e7e2-444d-97ee-45f2b3485c1d">NA</Project>
    <CategoryValue xmlns="4f9c820c-e7e2-444d-97ee-45f2b3485c1d">NA</CategoryValue>
    <DocumentType xmlns="4f9c820c-e7e2-444d-97ee-45f2b3485c1d">POLICY, Procedure, Rules</DocumentType>
    <FunctionGroup xmlns="4f9c820c-e7e2-444d-97ee-45f2b3485c1d">NA</FunctionGroup>
    <Activity xmlns="4f9c820c-e7e2-444d-97ee-45f2b3485c1d">Annual Review-Financial Review</Activity>
    <Narrative xmlns="4f9c820c-e7e2-444d-97ee-45f2b3485c1d" xsi:nil="true"/>
    <CategoryName xmlns="4f9c820c-e7e2-444d-97ee-45f2b3485c1d">2015-16 Financial Review</CategoryName>
    <Subactivity xmlns="4f9c820c-e7e2-444d-97ee-45f2b3485c1d">NA</Subactivity>
    <Case xmlns="4f9c820c-e7e2-444d-97ee-45f2b3485c1d">NA</Case>
    <_dlc_DocId xmlns="c77f55b4-6b9e-4f21-a0d6-1b8b89b467e0">MANA-1157933914-577</_dlc_DocId>
    <_dlc_DocIdUrl xmlns="c77f55b4-6b9e-4f21-a0d6-1b8b89b467e0">
      <Url>https://nzprod.sharepoint.com/sites/Accountability/_layouts/15/DocIdRedir.aspx?ID=MANA-1157933914-577</Url>
      <Description>MANA-1157933914-577</Description>
    </_dlc_DocIdUrl>
    <Year xmlns="c91a514c-9034-4fa3-897a-8352025b26ed">NA</Year>
    <BusinessValue xmlns="4f9c820c-e7e2-444d-97ee-45f2b3485c1d" xsi:nil="true"/>
    <PRADateDisposal xmlns="4f9c820c-e7e2-444d-97ee-45f2b3485c1d" xsi:nil="true"/>
    <KeyWords xmlns="15ffb055-6eb4-45a1-bc20-bf2ac0d420da">Not yet defined</KeyWords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ggregationStatus xmlns="4f9c820c-e7e2-444d-97ee-45f2b3485c1d" xsi:nil="true"/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Accountability</Team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PRAText3 xmlns="4f9c820c-e7e2-444d-97ee-45f2b3485c1d" xsi:nil="true"/>
    <PRADateTrigger xmlns="4f9c820c-e7e2-444d-97ee-45f2b3485c1d" xsi:nil="true"/>
    <PRAText2 xmlns="4f9c820c-e7e2-444d-97ee-45f2b3485c1d" xsi:nil="true"/>
    <_dlc_DocIdPersistId xmlns="c77f55b4-6b9e-4f21-a0d6-1b8b89b467e0">false</_dlc_DocIdPersistId>
    <SharedWithUsers xmlns="c77f55b4-6b9e-4f21-a0d6-1b8b89b467e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EDC74A4A664D2E4283017F01F0229A87" ma:contentTypeVersion="59" ma:contentTypeDescription="Create a new document." ma:contentTypeScope="" ma:versionID="4efedda4b722538cf95b9ec61a04bd5e">
  <xsd:schema xmlns:xsd="http://www.w3.org/2001/XMLSchema" xmlns:xs="http://www.w3.org/2001/XMLSchema" xmlns:p="http://schemas.microsoft.com/office/2006/metadata/properties" xmlns:ns2="c77f55b4-6b9e-4f21-a0d6-1b8b89b467e0" xmlns:ns3="4f9c820c-e7e2-444d-97ee-45f2b3485c1d" xmlns:ns4="15ffb055-6eb4-45a1-bc20-bf2ac0d420da" xmlns:ns5="725c79e5-42ce-4aa0-ac78-b6418001f0d2" xmlns:ns6="c91a514c-9034-4fa3-897a-8352025b26ed" xmlns:ns7="8b2bb8e4-2c11-471e-89e7-a762af837b73" targetNamespace="http://schemas.microsoft.com/office/2006/metadata/properties" ma:root="true" ma:fieldsID="f72d148b004bf1d8107d91ca812b79ab" ns2:_="" ns3:_="" ns4:_="" ns5:_="" ns6:_="" ns7:_="">
    <xsd:import namespace="c77f55b4-6b9e-4f21-a0d6-1b8b89b467e0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8b2bb8e4-2c11-471e-89e7-a762af837b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f55b4-6b9e-4f21-a0d6-1b8b89b467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CONTRACT, Variation, Agreement"/>
          <xsd:enumeration value="FORMAL OUTPUT, Formalised PC Position"/>
          <xsd:enumeration value="CORRESPONDENCE"/>
          <xsd:enumeration value="DATA, Source Data"/>
          <xsd:enumeration value="EMPLOYMENT Related"/>
          <xsd:enumeration value="FILE NOTE, Meeting Record"/>
          <xsd:enumeration value="POLICY, Procedure, Rules"/>
          <xsd:enumeration value="REFERENCE"/>
          <xsd:enumeration value="SCRATCH PAD, Brain Storming"/>
          <xsd:enumeration value="SUBMISSION"/>
          <xsd:enumeration value="TEMPLATE, Checklist or Form"/>
          <xsd:enumeration value="WORKINGS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" ma:default="NA" ma:internalName="CategoryNam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Accountability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NA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Accountability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b8e4-2c11-471e-89e7-a762af83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0EB0D-249D-4641-B7C7-54A1914A309B}">
  <ds:schemaRefs>
    <ds:schemaRef ds:uri="c77f55b4-6b9e-4f21-a0d6-1b8b89b467e0"/>
    <ds:schemaRef ds:uri="725c79e5-42ce-4aa0-ac78-b6418001f0d2"/>
    <ds:schemaRef ds:uri="http://purl.org/dc/elements/1.1/"/>
    <ds:schemaRef ds:uri="http://purl.org/dc/terms/"/>
    <ds:schemaRef ds:uri="c91a514c-9034-4fa3-897a-8352025b26e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8b2bb8e4-2c11-471e-89e7-a762af837b73"/>
    <ds:schemaRef ds:uri="15ffb055-6eb4-45a1-bc20-bf2ac0d420da"/>
    <ds:schemaRef ds:uri="4f9c820c-e7e2-444d-97ee-45f2b3485c1d"/>
  </ds:schemaRefs>
</ds:datastoreItem>
</file>

<file path=customXml/itemProps2.xml><?xml version="1.0" encoding="utf-8"?>
<ds:datastoreItem xmlns:ds="http://schemas.openxmlformats.org/officeDocument/2006/customXml" ds:itemID="{7FE92D6B-A4F8-444B-8078-70A13C00BB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F8420C-C9B6-4797-B9D7-7B5A0D317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CF061-9D33-4030-B859-D8550502D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f55b4-6b9e-4f21-a0d6-1b8b89b467e0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8b2bb8e4-2c11-471e-89e7-a762af837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2A57A7-84CA-43E0-BBB8-A2F564CED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Delbridge</dc:creator>
  <cp:keywords/>
  <dc:description/>
  <cp:lastModifiedBy>Daiman Smith</cp:lastModifiedBy>
  <cp:revision>2</cp:revision>
  <cp:lastPrinted>2011-04-11T02:47:00Z</cp:lastPrinted>
  <dcterms:created xsi:type="dcterms:W3CDTF">2021-08-27T01:39:00Z</dcterms:created>
  <dcterms:modified xsi:type="dcterms:W3CDTF">2021-08-27T01:39:00Z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0x010100EDC74A4A664D2E4283017F01F0229A87</vt:lpwstr>
  </property>
  <property fmtid="{D5CDD505-2E9C-101B-9397-08002B2CF9AE}" pid="3" name="Order">
    <vt:r8>3800</vt:r8>
  </property>
  <property fmtid="{D5CDD505-2E9C-101B-9397-08002B2CF9AE}" pid="4" name="_ModerationStatus">
    <vt:lpwstr>0</vt:lpwstr>
  </property>
  <property fmtid="{D5CDD505-2E9C-101B-9397-08002B2CF9AE}" pid="5" name="_dlc_DocIdItemGuid">
    <vt:lpwstr>6a032605-d1b4-4970-868d-7305b6b47411</vt:lpwstr>
  </property>
  <property fmtid="{D5CDD505-2E9C-101B-9397-08002B2CF9AE}" pid="6" name="Owner">
    <vt:lpwstr>76;#PRODUCTIVITY\smithd</vt:lpwstr>
  </property>
  <property fmtid="{D5CDD505-2E9C-101B-9397-08002B2CF9AE}" pid="7" name="DLCPolicyLabelValue">
    <vt:lpwstr/>
  </property>
  <property fmtid="{D5CDD505-2E9C-101B-9397-08002B2CF9AE}" pid="8" name="DLCPolicyLabelClientValue">
    <vt:lpwstr/>
  </property>
  <property fmtid="{D5CDD505-2E9C-101B-9397-08002B2CF9AE}" pid="9" name="ReviewFrequency">
    <vt:lpwstr>12</vt:lpwstr>
  </property>
  <property fmtid="{D5CDD505-2E9C-101B-9397-08002B2CF9AE}" pid="10" name="DLCPolicyLabelLock">
    <vt:lpwstr/>
  </property>
  <property fmtid="{D5CDD505-2E9C-101B-9397-08002B2CF9AE}" pid="11" name="LastReviewed">
    <vt:filetime>2015-03-03T11:00:00Z</vt:filetime>
  </property>
  <property fmtid="{D5CDD505-2E9C-101B-9397-08002B2CF9AE}" pid="12" name="OriginalSubject">
    <vt:lpwstr/>
  </property>
  <property fmtid="{D5CDD505-2E9C-101B-9397-08002B2CF9AE}" pid="13" name="MailPreviewData">
    <vt:lpwstr/>
  </property>
  <property fmtid="{D5CDD505-2E9C-101B-9397-08002B2CF9AE}" pid="14" name="ILFrom">
    <vt:lpwstr/>
  </property>
  <property fmtid="{D5CDD505-2E9C-101B-9397-08002B2CF9AE}" pid="15" name="To">
    <vt:lpwstr/>
  </property>
  <property fmtid="{D5CDD505-2E9C-101B-9397-08002B2CF9AE}" pid="16" name="HarmonieUIHidden">
    <vt:lpwstr/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xd_Signature">
    <vt:bool>false</vt:bool>
  </property>
</Properties>
</file>