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1A2040" w14:textId="41D85412" w:rsidR="00755B27" w:rsidRPr="008C75D3" w:rsidRDefault="00755B27" w:rsidP="00463A14">
      <w:bookmarkStart w:id="0" w:name="_GoBack"/>
      <w:bookmarkEnd w:id="0"/>
      <w:r w:rsidRPr="008C75D3">
        <w:rPr>
          <w:noProof/>
          <w:lang w:val="en-GB" w:eastAsia="zh-CN"/>
        </w:rPr>
        <w:drawing>
          <wp:anchor distT="0" distB="0" distL="114300" distR="114300" simplePos="0" relativeHeight="251681792" behindDoc="1" locked="0" layoutInCell="1" allowOverlap="1" wp14:anchorId="0DA5AFDE" wp14:editId="61CA5718">
            <wp:simplePos x="0" y="0"/>
            <wp:positionH relativeFrom="column">
              <wp:posOffset>-1098550</wp:posOffset>
            </wp:positionH>
            <wp:positionV relativeFrom="paragraph">
              <wp:posOffset>-973214</wp:posOffset>
            </wp:positionV>
            <wp:extent cx="7759045" cy="2402840"/>
            <wp:effectExtent l="0" t="0" r="0" b="10160"/>
            <wp:wrapNone/>
            <wp:docPr id="1" name="Picture 1" descr="/Users/joojisan/Desktop/Screenshots/Screen Shot 2016-11-28 at 7.16.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ojisan/Desktop/Screenshots/Screen Shot 2016-11-28 at 7.16.1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9045" cy="240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42300" w14:textId="1AD6336E" w:rsidR="00755B27" w:rsidRPr="008C75D3" w:rsidRDefault="00755B27" w:rsidP="00463A14"/>
    <w:p w14:paraId="56CF721E" w14:textId="77777777" w:rsidR="00755B27" w:rsidRPr="008C75D3" w:rsidRDefault="00755B27" w:rsidP="00463A14"/>
    <w:p w14:paraId="6F59CECC" w14:textId="77777777" w:rsidR="00755B27" w:rsidRPr="008C75D3" w:rsidRDefault="00755B27" w:rsidP="00463A14"/>
    <w:p w14:paraId="635F6982" w14:textId="77777777" w:rsidR="00755B27" w:rsidRPr="008C75D3" w:rsidRDefault="00755B27" w:rsidP="00463A14"/>
    <w:p w14:paraId="5E5F94BD" w14:textId="77777777" w:rsidR="00755B27" w:rsidRPr="006D4765" w:rsidRDefault="00755B27" w:rsidP="00463A14">
      <w:pPr>
        <w:rPr>
          <w:lang w:val="en-US" w:eastAsia="zh-CN"/>
        </w:rPr>
      </w:pPr>
    </w:p>
    <w:p w14:paraId="2D84324D" w14:textId="21F0BCD7" w:rsidR="00755B27" w:rsidRDefault="00755B27" w:rsidP="00463A14"/>
    <w:p w14:paraId="2B893D47" w14:textId="77777777" w:rsidR="005A0E9F" w:rsidRPr="008C75D3" w:rsidRDefault="005A0E9F" w:rsidP="00463A14"/>
    <w:p w14:paraId="438A6E1E" w14:textId="67E871BC" w:rsidR="00755B27" w:rsidRPr="008C75D3" w:rsidRDefault="00661EAA" w:rsidP="00463A14">
      <w:r>
        <w:rPr>
          <w:noProof/>
          <w:lang w:val="en-GB" w:eastAsia="zh-CN"/>
        </w:rPr>
        <mc:AlternateContent>
          <mc:Choice Requires="wps">
            <w:drawing>
              <wp:anchor distT="0" distB="0" distL="114300" distR="114300" simplePos="0" relativeHeight="251727872" behindDoc="0" locked="0" layoutInCell="1" allowOverlap="1" wp14:anchorId="1E99D0BC" wp14:editId="4297A884">
                <wp:simplePos x="0" y="0"/>
                <wp:positionH relativeFrom="column">
                  <wp:posOffset>0</wp:posOffset>
                </wp:positionH>
                <wp:positionV relativeFrom="paragraph">
                  <wp:posOffset>226806</wp:posOffset>
                </wp:positionV>
                <wp:extent cx="6199505" cy="2466975"/>
                <wp:effectExtent l="0" t="0" r="0" b="0"/>
                <wp:wrapTight wrapText="bothSides">
                  <wp:wrapPolygon edited="0">
                    <wp:start x="221" y="111"/>
                    <wp:lineTo x="221" y="21350"/>
                    <wp:lineTo x="21328" y="21350"/>
                    <wp:lineTo x="21328" y="111"/>
                    <wp:lineTo x="221" y="111"/>
                  </wp:wrapPolygon>
                </wp:wrapTight>
                <wp:docPr id="89" name="Text Box 89"/>
                <wp:cNvGraphicFramePr/>
                <a:graphic xmlns:a="http://schemas.openxmlformats.org/drawingml/2006/main">
                  <a:graphicData uri="http://schemas.microsoft.com/office/word/2010/wordprocessingShape">
                    <wps:wsp>
                      <wps:cNvSpPr txBox="1"/>
                      <wps:spPr>
                        <a:xfrm>
                          <a:off x="0" y="0"/>
                          <a:ext cx="6199505" cy="2466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F18149" w14:textId="503911EA" w:rsidR="005A4AFA" w:rsidRPr="005A0E9F" w:rsidRDefault="005A4AFA" w:rsidP="005A0E9F">
                            <w:pPr>
                              <w:spacing w:after="160" w:line="240" w:lineRule="auto"/>
                              <w:rPr>
                                <w:rFonts w:ascii="Open Sans Semibold" w:hAnsi="Open Sans Semibold"/>
                                <w:b/>
                                <w:bCs/>
                                <w:color w:val="243A7E"/>
                                <w:sz w:val="40"/>
                                <w:szCs w:val="40"/>
                                <w:lang w:val="en-AU"/>
                              </w:rPr>
                            </w:pPr>
                            <w:r w:rsidRPr="00661EAA">
                              <w:rPr>
                                <w:rFonts w:ascii="Open Sans Semibold" w:hAnsi="Open Sans Semibold"/>
                                <w:b/>
                                <w:bCs/>
                                <w:color w:val="243A7E"/>
                                <w:sz w:val="40"/>
                                <w:szCs w:val="40"/>
                                <w:lang w:val="en-AU"/>
                              </w:rPr>
                              <w:t xml:space="preserve">Development Contributions </w:t>
                            </w:r>
                          </w:p>
                          <w:p w14:paraId="26F98079" w14:textId="09B93628" w:rsidR="005A4AFA" w:rsidRDefault="005A4AFA" w:rsidP="007312B2">
                            <w:pPr>
                              <w:rPr>
                                <w:rFonts w:ascii="Open Sans Semibold" w:hAnsi="Open Sans Semibold"/>
                                <w:b/>
                                <w:bCs/>
                                <w:color w:val="243A7E"/>
                                <w:sz w:val="44"/>
                                <w:szCs w:val="44"/>
                                <w:lang w:val="en-AU"/>
                              </w:rPr>
                            </w:pPr>
                          </w:p>
                          <w:p w14:paraId="215F510F" w14:textId="77777777" w:rsidR="005A4AFA" w:rsidRDefault="005A4AFA" w:rsidP="007312B2">
                            <w:pPr>
                              <w:rPr>
                                <w:rFonts w:ascii="Open Sans Semibold" w:hAnsi="Open Sans Semibold"/>
                                <w:b/>
                                <w:bCs/>
                                <w:color w:val="243A7E"/>
                                <w:sz w:val="44"/>
                                <w:szCs w:val="44"/>
                                <w:lang w:val="en-AU"/>
                              </w:rPr>
                            </w:pPr>
                          </w:p>
                          <w:p w14:paraId="594B32DA" w14:textId="6B7C7DBD" w:rsidR="005A4AFA" w:rsidRPr="00661EAA" w:rsidRDefault="005A0E9F" w:rsidP="007312B2">
                            <w:pPr>
                              <w:spacing w:after="120" w:line="240" w:lineRule="auto"/>
                              <w:rPr>
                                <w:color w:val="243A7E"/>
                                <w:sz w:val="28"/>
                                <w:szCs w:val="28"/>
                                <w:lang w:val="en-AU"/>
                              </w:rPr>
                            </w:pPr>
                            <w:r>
                              <w:rPr>
                                <w:color w:val="243A7E"/>
                                <w:sz w:val="28"/>
                                <w:szCs w:val="28"/>
                                <w:lang w:val="en-AU"/>
                              </w:rPr>
                              <w:t>A report p</w:t>
                            </w:r>
                            <w:r w:rsidR="005A4AFA" w:rsidRPr="00661EAA">
                              <w:rPr>
                                <w:color w:val="243A7E"/>
                                <w:sz w:val="28"/>
                                <w:szCs w:val="28"/>
                                <w:lang w:val="en-AU"/>
                              </w:rPr>
                              <w:t>repared for Foodstuffs NZ</w:t>
                            </w:r>
                          </w:p>
                          <w:p w14:paraId="34EAC72A" w14:textId="4F28B149" w:rsidR="005A4AFA" w:rsidRPr="00755B27" w:rsidRDefault="005A4AFA" w:rsidP="007312B2">
                            <w:pP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9D0BC" id="_x0000_t202" coordsize="21600,21600" o:spt="202" path="m,l,21600r21600,l21600,xe">
                <v:stroke joinstyle="miter"/>
                <v:path gradientshapeok="t" o:connecttype="rect"/>
              </v:shapetype>
              <v:shape id="Text Box 89" o:spid="_x0000_s1026" type="#_x0000_t202" style="position:absolute;left:0;text-align:left;margin-left:0;margin-top:17.85pt;width:488.15pt;height:19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" filled="f" stroked="f">
                <v:textbox>
                  <w:txbxContent>
                    <w:p w14:paraId="17F18149" w14:textId="503911EA" w:rsidR="005A4AFA" w:rsidRPr="005A0E9F" w:rsidRDefault="005A4AFA" w:rsidP="005A0E9F">
                      <w:pPr>
                        <w:spacing w:after="160" w:line="240" w:lineRule="auto"/>
                        <w:rPr>
                          <w:rFonts w:ascii="Open Sans Semibold" w:hAnsi="Open Sans Semibold"/>
                          <w:b/>
                          <w:bCs/>
                          <w:color w:val="243A7E"/>
                          <w:sz w:val="40"/>
                          <w:szCs w:val="40"/>
                          <w:lang w:val="en-AU"/>
                        </w:rPr>
                      </w:pPr>
                      <w:r w:rsidRPr="00661EAA">
                        <w:rPr>
                          <w:rFonts w:ascii="Open Sans Semibold" w:hAnsi="Open Sans Semibold"/>
                          <w:b/>
                          <w:bCs/>
                          <w:color w:val="243A7E"/>
                          <w:sz w:val="40"/>
                          <w:szCs w:val="40"/>
                          <w:lang w:val="en-AU"/>
                        </w:rPr>
                        <w:t xml:space="preserve">Development Contributions </w:t>
                      </w:r>
                    </w:p>
                    <w:p w14:paraId="26F98079" w14:textId="09B93628" w:rsidR="005A4AFA" w:rsidRDefault="005A4AFA" w:rsidP="007312B2">
                      <w:pPr>
                        <w:rPr>
                          <w:rFonts w:ascii="Open Sans Semibold" w:hAnsi="Open Sans Semibold"/>
                          <w:b/>
                          <w:bCs/>
                          <w:color w:val="243A7E"/>
                          <w:sz w:val="44"/>
                          <w:szCs w:val="44"/>
                          <w:lang w:val="en-AU"/>
                        </w:rPr>
                      </w:pPr>
                    </w:p>
                    <w:p w14:paraId="215F510F" w14:textId="77777777" w:rsidR="005A4AFA" w:rsidRDefault="005A4AFA" w:rsidP="007312B2">
                      <w:pPr>
                        <w:rPr>
                          <w:rFonts w:ascii="Open Sans Semibold" w:hAnsi="Open Sans Semibold"/>
                          <w:b/>
                          <w:bCs/>
                          <w:color w:val="243A7E"/>
                          <w:sz w:val="44"/>
                          <w:szCs w:val="44"/>
                          <w:lang w:val="en-AU"/>
                        </w:rPr>
                      </w:pPr>
                    </w:p>
                    <w:p w14:paraId="594B32DA" w14:textId="6B7C7DBD" w:rsidR="005A4AFA" w:rsidRPr="00661EAA" w:rsidRDefault="005A0E9F" w:rsidP="007312B2">
                      <w:pPr>
                        <w:spacing w:after="120" w:line="240" w:lineRule="auto"/>
                        <w:rPr>
                          <w:color w:val="243A7E"/>
                          <w:sz w:val="28"/>
                          <w:szCs w:val="28"/>
                          <w:lang w:val="en-AU"/>
                        </w:rPr>
                      </w:pPr>
                      <w:r>
                        <w:rPr>
                          <w:color w:val="243A7E"/>
                          <w:sz w:val="28"/>
                          <w:szCs w:val="28"/>
                          <w:lang w:val="en-AU"/>
                        </w:rPr>
                        <w:t>A report p</w:t>
                      </w:r>
                      <w:r w:rsidR="005A4AFA" w:rsidRPr="00661EAA">
                        <w:rPr>
                          <w:color w:val="243A7E"/>
                          <w:sz w:val="28"/>
                          <w:szCs w:val="28"/>
                          <w:lang w:val="en-AU"/>
                        </w:rPr>
                        <w:t>repared for Foodstuffs NZ</w:t>
                      </w:r>
                    </w:p>
                    <w:p w14:paraId="34EAC72A" w14:textId="4F28B149" w:rsidR="005A4AFA" w:rsidRPr="00755B27" w:rsidRDefault="005A4AFA" w:rsidP="007312B2">
                      <w:pPr>
                        <w:rPr>
                          <w:lang w:val="en-AU"/>
                        </w:rPr>
                      </w:pPr>
                      <w:r>
                        <w:rPr>
                          <w:lang w:val="en-AU"/>
                        </w:rPr>
                        <w:t xml:space="preserve"> </w:t>
                      </w:r>
                    </w:p>
                  </w:txbxContent>
                </v:textbox>
                <w10:wrap type="tight"/>
              </v:shape>
            </w:pict>
          </mc:Fallback>
        </mc:AlternateContent>
      </w:r>
      <w:r w:rsidRPr="008C75D3">
        <w:rPr>
          <w:noProof/>
          <w:lang w:val="en-GB" w:eastAsia="zh-CN"/>
        </w:rPr>
        <w:drawing>
          <wp:anchor distT="0" distB="0" distL="114300" distR="114300" simplePos="0" relativeHeight="251686912" behindDoc="1" locked="0" layoutInCell="1" allowOverlap="1" wp14:anchorId="75528183" wp14:editId="48D237CB">
            <wp:simplePos x="0" y="0"/>
            <wp:positionH relativeFrom="column">
              <wp:posOffset>44450</wp:posOffset>
            </wp:positionH>
            <wp:positionV relativeFrom="paragraph">
              <wp:posOffset>1598204</wp:posOffset>
            </wp:positionV>
            <wp:extent cx="8779510" cy="45085"/>
            <wp:effectExtent l="0" t="0" r="8890" b="571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779510" cy="45085"/>
                    </a:xfrm>
                    <a:prstGeom prst="rect">
                      <a:avLst/>
                    </a:prstGeom>
                  </pic:spPr>
                </pic:pic>
              </a:graphicData>
            </a:graphic>
            <wp14:sizeRelH relativeFrom="page">
              <wp14:pctWidth>0</wp14:pctWidth>
            </wp14:sizeRelH>
            <wp14:sizeRelV relativeFrom="page">
              <wp14:pctHeight>0</wp14:pctHeight>
            </wp14:sizeRelV>
          </wp:anchor>
        </w:drawing>
      </w:r>
    </w:p>
    <w:p w14:paraId="30AF4CF1" w14:textId="251F58D8" w:rsidR="00755B27" w:rsidRPr="008C75D3" w:rsidRDefault="00755B27" w:rsidP="00463A14"/>
    <w:p w14:paraId="50277D6F" w14:textId="0EF517AF" w:rsidR="00755B27" w:rsidRPr="008C75D3" w:rsidRDefault="00755B27" w:rsidP="00463A14"/>
    <w:p w14:paraId="1603FAE5" w14:textId="18851480" w:rsidR="00755B27" w:rsidRPr="008C75D3" w:rsidRDefault="00B726C9" w:rsidP="00463A14">
      <w:r>
        <w:rPr>
          <w:noProof/>
        </w:rPr>
        <w:drawing>
          <wp:anchor distT="0" distB="0" distL="114300" distR="114300" simplePos="0" relativeHeight="251728896" behindDoc="1" locked="0" layoutInCell="1" allowOverlap="1" wp14:anchorId="6FB508F2" wp14:editId="4892A10F">
            <wp:simplePos x="0" y="0"/>
            <wp:positionH relativeFrom="column">
              <wp:posOffset>140970</wp:posOffset>
            </wp:positionH>
            <wp:positionV relativeFrom="paragraph">
              <wp:posOffset>247866</wp:posOffset>
            </wp:positionV>
            <wp:extent cx="1981200" cy="730085"/>
            <wp:effectExtent l="0" t="0" r="0" b="0"/>
            <wp:wrapTight wrapText="bothSides">
              <wp:wrapPolygon edited="0">
                <wp:start x="0" y="0"/>
                <wp:lineTo x="0" y="21055"/>
                <wp:lineTo x="21462" y="21055"/>
                <wp:lineTo x="214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0864" b="32286"/>
                    <a:stretch/>
                  </pic:blipFill>
                  <pic:spPr bwMode="auto">
                    <a:xfrm>
                      <a:off x="0" y="0"/>
                      <a:ext cx="1981200" cy="73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D7125" w14:textId="198182D6" w:rsidR="00755B27" w:rsidRPr="008C75D3" w:rsidRDefault="00755B27" w:rsidP="00463A14"/>
    <w:p w14:paraId="58E4CDD7" w14:textId="0ECE7DF3" w:rsidR="003D2906" w:rsidRPr="008C75D3" w:rsidRDefault="003D2906" w:rsidP="00463A14"/>
    <w:p w14:paraId="655A6039" w14:textId="3DACC274" w:rsidR="00755B27" w:rsidRPr="008C75D3" w:rsidRDefault="00755B27" w:rsidP="00463A14"/>
    <w:p w14:paraId="6893CD2B" w14:textId="2C02A303" w:rsidR="00755B27" w:rsidRPr="008C75D3" w:rsidRDefault="00755B27" w:rsidP="00463A14"/>
    <w:p w14:paraId="1234A2EE" w14:textId="3779DB88" w:rsidR="00083492" w:rsidRPr="008C75D3" w:rsidRDefault="00083492" w:rsidP="00463A14"/>
    <w:p w14:paraId="33832452" w14:textId="58E7B890" w:rsidR="00083492" w:rsidRPr="008C75D3" w:rsidRDefault="00C048F7" w:rsidP="00463A14">
      <w:r w:rsidRPr="008C75D3">
        <w:rPr>
          <w:noProof/>
          <w:lang w:val="en-GB" w:eastAsia="zh-CN"/>
        </w:rPr>
        <mc:AlternateContent>
          <mc:Choice Requires="wps">
            <w:drawing>
              <wp:anchor distT="0" distB="0" distL="114300" distR="114300" simplePos="0" relativeHeight="251705344" behindDoc="0" locked="0" layoutInCell="1" allowOverlap="1" wp14:anchorId="147A6878" wp14:editId="5554E992">
                <wp:simplePos x="0" y="0"/>
                <wp:positionH relativeFrom="column">
                  <wp:posOffset>23495</wp:posOffset>
                </wp:positionH>
                <wp:positionV relativeFrom="paragraph">
                  <wp:posOffset>12700</wp:posOffset>
                </wp:positionV>
                <wp:extent cx="3086735" cy="530860"/>
                <wp:effectExtent l="0" t="0" r="0" b="2540"/>
                <wp:wrapTight wrapText="bothSides">
                  <wp:wrapPolygon edited="0">
                    <wp:start x="267" y="0"/>
                    <wp:lineTo x="267" y="20928"/>
                    <wp:lineTo x="21196" y="20928"/>
                    <wp:lineTo x="21196" y="0"/>
                    <wp:lineTo x="267" y="0"/>
                  </wp:wrapPolygon>
                </wp:wrapTight>
                <wp:docPr id="92" name="Text Box 92"/>
                <wp:cNvGraphicFramePr/>
                <a:graphic xmlns:a="http://schemas.openxmlformats.org/drawingml/2006/main">
                  <a:graphicData uri="http://schemas.microsoft.com/office/word/2010/wordprocessingShape">
                    <wps:wsp>
                      <wps:cNvSpPr txBox="1"/>
                      <wps:spPr>
                        <a:xfrm>
                          <a:off x="0" y="0"/>
                          <a:ext cx="3086735" cy="530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14B833" w14:textId="262BFFFF" w:rsidR="005A4AFA" w:rsidRPr="00755B27" w:rsidRDefault="005A4AFA" w:rsidP="007312B2">
                            <w:pPr>
                              <w:spacing w:after="0" w:line="240" w:lineRule="auto"/>
                              <w:rPr>
                                <w:color w:val="243A7E"/>
                                <w:sz w:val="24"/>
                                <w:szCs w:val="24"/>
                                <w:lang w:val="en-AU"/>
                              </w:rPr>
                            </w:pPr>
                            <w:r>
                              <w:rPr>
                                <w:color w:val="243A7E"/>
                                <w:sz w:val="24"/>
                                <w:szCs w:val="24"/>
                                <w:lang w:val="en-AU"/>
                              </w:rPr>
                              <w:t>2</w:t>
                            </w:r>
                            <w:r w:rsidR="000C6E05">
                              <w:rPr>
                                <w:color w:val="243A7E"/>
                                <w:sz w:val="24"/>
                                <w:szCs w:val="24"/>
                                <w:lang w:val="en-AU"/>
                              </w:rPr>
                              <w:t>7</w:t>
                            </w:r>
                            <w:r>
                              <w:rPr>
                                <w:color w:val="243A7E"/>
                                <w:sz w:val="24"/>
                                <w:szCs w:val="24"/>
                                <w:lang w:val="en-AU"/>
                              </w:rPr>
                              <w:t xml:space="preserve"> November 2018</w:t>
                            </w:r>
                          </w:p>
                          <w:p w14:paraId="24EB4BE1" w14:textId="77777777" w:rsidR="005A4AFA" w:rsidRPr="007312B2" w:rsidRDefault="00152B58" w:rsidP="007312B2">
                            <w:pPr>
                              <w:spacing w:after="0" w:line="240" w:lineRule="auto"/>
                              <w:rPr>
                                <w:color w:val="263C7B"/>
                                <w:sz w:val="24"/>
                                <w:szCs w:val="24"/>
                                <w:lang w:val="en-AU"/>
                              </w:rPr>
                            </w:pPr>
                            <w:hyperlink r:id="rId15" w:history="1">
                              <w:r w:rsidR="005A4AFA" w:rsidRPr="007312B2">
                                <w:rPr>
                                  <w:rStyle w:val="Hyperlink"/>
                                  <w:color w:val="263C7B"/>
                                  <w:sz w:val="24"/>
                                  <w:szCs w:val="24"/>
                                  <w:u w:val="none"/>
                                  <w:lang w:val="en-AU"/>
                                </w:rPr>
                                <w:t>tdb.co.nz</w:t>
                              </w:r>
                            </w:hyperlink>
                          </w:p>
                          <w:p w14:paraId="34FDE473" w14:textId="73450D1B" w:rsidR="005A4AFA" w:rsidRPr="00755B27" w:rsidRDefault="005A4AFA" w:rsidP="00463A14">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A6878" id="Text Box 92" o:spid="_x0000_s1027" type="#_x0000_t202" style="position:absolute;left:0;text-align:left;margin-left:1.85pt;margin-top:1pt;width:243.05pt;height:4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" filled="f" stroked="f">
                <v:textbox>
                  <w:txbxContent>
                    <w:p w14:paraId="3B14B833" w14:textId="262BFFFF" w:rsidR="005A4AFA" w:rsidRPr="00755B27" w:rsidRDefault="005A4AFA" w:rsidP="007312B2">
                      <w:pPr>
                        <w:spacing w:after="0" w:line="240" w:lineRule="auto"/>
                        <w:rPr>
                          <w:color w:val="243A7E"/>
                          <w:sz w:val="24"/>
                          <w:szCs w:val="24"/>
                          <w:lang w:val="en-AU"/>
                        </w:rPr>
                      </w:pPr>
                      <w:r>
                        <w:rPr>
                          <w:color w:val="243A7E"/>
                          <w:sz w:val="24"/>
                          <w:szCs w:val="24"/>
                          <w:lang w:val="en-AU"/>
                        </w:rPr>
                        <w:t>2</w:t>
                      </w:r>
                      <w:r w:rsidR="000C6E05">
                        <w:rPr>
                          <w:color w:val="243A7E"/>
                          <w:sz w:val="24"/>
                          <w:szCs w:val="24"/>
                          <w:lang w:val="en-AU"/>
                        </w:rPr>
                        <w:t>7</w:t>
                      </w:r>
                      <w:r>
                        <w:rPr>
                          <w:color w:val="243A7E"/>
                          <w:sz w:val="24"/>
                          <w:szCs w:val="24"/>
                          <w:lang w:val="en-AU"/>
                        </w:rPr>
                        <w:t xml:space="preserve"> November 2018</w:t>
                      </w:r>
                    </w:p>
                    <w:p w14:paraId="24EB4BE1" w14:textId="77777777" w:rsidR="005A4AFA" w:rsidRPr="007312B2" w:rsidRDefault="00B8306A" w:rsidP="007312B2">
                      <w:pPr>
                        <w:spacing w:after="0" w:line="240" w:lineRule="auto"/>
                        <w:rPr>
                          <w:color w:val="263C7B"/>
                          <w:sz w:val="24"/>
                          <w:szCs w:val="24"/>
                          <w:lang w:val="en-AU"/>
                        </w:rPr>
                      </w:pPr>
                      <w:hyperlink r:id="rId16" w:history="1">
                        <w:r w:rsidR="005A4AFA" w:rsidRPr="007312B2">
                          <w:rPr>
                            <w:rStyle w:val="Hyperlink"/>
                            <w:color w:val="263C7B"/>
                            <w:sz w:val="24"/>
                            <w:szCs w:val="24"/>
                            <w:u w:val="none"/>
                            <w:lang w:val="en-AU"/>
                          </w:rPr>
                          <w:t>tdb.co.nz</w:t>
                        </w:r>
                      </w:hyperlink>
                    </w:p>
                    <w:p w14:paraId="34FDE473" w14:textId="73450D1B" w:rsidR="005A4AFA" w:rsidRPr="00755B27" w:rsidRDefault="005A4AFA" w:rsidP="00463A14">
                      <w:pPr>
                        <w:rPr>
                          <w:lang w:val="en-AU"/>
                        </w:rPr>
                      </w:pPr>
                    </w:p>
                  </w:txbxContent>
                </v:textbox>
                <w10:wrap type="tight"/>
              </v:shape>
            </w:pict>
          </mc:Fallback>
        </mc:AlternateContent>
      </w:r>
    </w:p>
    <w:p w14:paraId="491534A1" w14:textId="4498E566" w:rsidR="00083492" w:rsidRPr="008C75D3" w:rsidRDefault="00083492" w:rsidP="00463A14"/>
    <w:p w14:paraId="4D90F255" w14:textId="39A50391" w:rsidR="00083492" w:rsidRPr="008C75D3" w:rsidRDefault="00083492" w:rsidP="00463A14"/>
    <w:p w14:paraId="10D2DD76" w14:textId="77777777" w:rsidR="00C048F7" w:rsidRDefault="00C048F7" w:rsidP="00C048F7">
      <w:pPr>
        <w:spacing w:after="0"/>
        <w:ind w:right="400"/>
      </w:pPr>
    </w:p>
    <w:p w14:paraId="3E6AD500" w14:textId="77777777" w:rsidR="00C048F7" w:rsidRDefault="00C048F7" w:rsidP="00C048F7">
      <w:pPr>
        <w:spacing w:after="0"/>
        <w:ind w:right="400"/>
      </w:pPr>
    </w:p>
    <w:p w14:paraId="636FFCF8" w14:textId="77777777" w:rsidR="008F106E" w:rsidRDefault="008F106E">
      <w:pPr>
        <w:rPr>
          <w:color w:val="365F91" w:themeColor="accent1" w:themeShade="BF"/>
        </w:rPr>
      </w:pPr>
      <w:r>
        <w:rPr>
          <w:color w:val="365F91" w:themeColor="accent1" w:themeShade="BF"/>
        </w:rPr>
        <w:br w:type="page"/>
      </w:r>
    </w:p>
    <w:p w14:paraId="28674E83" w14:textId="42FF9E7D" w:rsidR="007312B2" w:rsidRPr="00A45896" w:rsidRDefault="007312B2" w:rsidP="00C048F7">
      <w:pPr>
        <w:spacing w:after="0"/>
        <w:jc w:val="right"/>
        <w:rPr>
          <w:color w:val="365F91" w:themeColor="accent1" w:themeShade="BF"/>
        </w:rPr>
      </w:pPr>
      <w:r w:rsidRPr="00A45896">
        <w:rPr>
          <w:color w:val="365F91" w:themeColor="accent1" w:themeShade="BF"/>
        </w:rPr>
        <w:lastRenderedPageBreak/>
        <w:t>TDB Advisory Limited</w:t>
      </w:r>
    </w:p>
    <w:p w14:paraId="1E3BD122" w14:textId="77777777" w:rsidR="007312B2" w:rsidRPr="00A45896" w:rsidRDefault="007312B2" w:rsidP="00C048F7">
      <w:pPr>
        <w:spacing w:after="0"/>
        <w:jc w:val="right"/>
        <w:rPr>
          <w:color w:val="365F91" w:themeColor="accent1" w:themeShade="BF"/>
        </w:rPr>
      </w:pPr>
      <w:r w:rsidRPr="00A45896">
        <w:rPr>
          <w:color w:val="365F91" w:themeColor="accent1" w:themeShade="BF"/>
        </w:rPr>
        <w:t>L5, Wakefield House</w:t>
      </w:r>
    </w:p>
    <w:p w14:paraId="77D2BB26" w14:textId="77777777" w:rsidR="007312B2" w:rsidRPr="00A45896" w:rsidRDefault="007312B2" w:rsidP="00C048F7">
      <w:pPr>
        <w:spacing w:after="0"/>
        <w:jc w:val="right"/>
        <w:rPr>
          <w:color w:val="365F91" w:themeColor="accent1" w:themeShade="BF"/>
        </w:rPr>
      </w:pPr>
      <w:r w:rsidRPr="00A45896">
        <w:rPr>
          <w:color w:val="365F91" w:themeColor="accent1" w:themeShade="BF"/>
        </w:rPr>
        <w:t>90 The Terrace</w:t>
      </w:r>
    </w:p>
    <w:p w14:paraId="6A628AAD" w14:textId="77777777" w:rsidR="007312B2" w:rsidRPr="00A45896" w:rsidRDefault="007312B2" w:rsidP="00C048F7">
      <w:pPr>
        <w:spacing w:after="0"/>
        <w:jc w:val="right"/>
        <w:rPr>
          <w:color w:val="365F91" w:themeColor="accent1" w:themeShade="BF"/>
        </w:rPr>
      </w:pPr>
      <w:r w:rsidRPr="00A45896">
        <w:rPr>
          <w:color w:val="365F91" w:themeColor="accent1" w:themeShade="BF"/>
        </w:rPr>
        <w:t xml:space="preserve">P.O. Box 93 </w:t>
      </w:r>
    </w:p>
    <w:p w14:paraId="616F0203" w14:textId="77777777" w:rsidR="007312B2" w:rsidRPr="00A45896" w:rsidRDefault="007312B2" w:rsidP="00C048F7">
      <w:pPr>
        <w:spacing w:after="0"/>
        <w:jc w:val="right"/>
        <w:rPr>
          <w:color w:val="365F91" w:themeColor="accent1" w:themeShade="BF"/>
        </w:rPr>
      </w:pPr>
      <w:r w:rsidRPr="00A45896">
        <w:rPr>
          <w:color w:val="365F91" w:themeColor="accent1" w:themeShade="BF"/>
        </w:rPr>
        <w:t>Wellington</w:t>
      </w:r>
    </w:p>
    <w:p w14:paraId="7AAD0DE5" w14:textId="77777777" w:rsidR="007312B2" w:rsidRPr="00A45896" w:rsidRDefault="007312B2" w:rsidP="00C048F7">
      <w:pPr>
        <w:spacing w:after="0"/>
        <w:jc w:val="right"/>
        <w:rPr>
          <w:color w:val="365F91" w:themeColor="accent1" w:themeShade="BF"/>
        </w:rPr>
      </w:pPr>
      <w:r w:rsidRPr="00A45896">
        <w:rPr>
          <w:color w:val="365F91" w:themeColor="accent1" w:themeShade="BF"/>
        </w:rPr>
        <w:t>New Zealand</w:t>
      </w:r>
    </w:p>
    <w:p w14:paraId="5BFAFE1B" w14:textId="77777777" w:rsidR="007312B2" w:rsidRPr="00A45896" w:rsidRDefault="007312B2" w:rsidP="00C048F7">
      <w:pPr>
        <w:spacing w:after="0"/>
        <w:jc w:val="right"/>
        <w:rPr>
          <w:color w:val="365F91" w:themeColor="accent1" w:themeShade="BF"/>
        </w:rPr>
      </w:pPr>
    </w:p>
    <w:p w14:paraId="46F32BA6" w14:textId="77777777" w:rsidR="007312B2" w:rsidRPr="00A45896" w:rsidRDefault="007312B2" w:rsidP="00C048F7">
      <w:pPr>
        <w:spacing w:after="0"/>
        <w:jc w:val="right"/>
        <w:rPr>
          <w:color w:val="365F91" w:themeColor="accent1" w:themeShade="BF"/>
        </w:rPr>
      </w:pPr>
      <w:r w:rsidRPr="00A45896">
        <w:rPr>
          <w:color w:val="365F91" w:themeColor="accent1" w:themeShade="BF"/>
        </w:rPr>
        <w:t>Tel (</w:t>
      </w:r>
      <w:r>
        <w:rPr>
          <w:color w:val="365F91" w:themeColor="accent1" w:themeShade="BF"/>
        </w:rPr>
        <w:t>+</w:t>
      </w:r>
      <w:r w:rsidRPr="00A45896">
        <w:rPr>
          <w:color w:val="365F91" w:themeColor="accent1" w:themeShade="BF"/>
        </w:rPr>
        <w:t>644) 934 8740</w:t>
      </w:r>
    </w:p>
    <w:p w14:paraId="79DE50F9" w14:textId="77777777" w:rsidR="007312B2" w:rsidRPr="00B7109F" w:rsidRDefault="007312B2" w:rsidP="00C048F7">
      <w:pPr>
        <w:spacing w:after="0"/>
        <w:jc w:val="right"/>
        <w:rPr>
          <w:color w:val="365F91" w:themeColor="accent1" w:themeShade="BF"/>
        </w:rPr>
      </w:pPr>
      <w:r w:rsidRPr="00A45896">
        <w:rPr>
          <w:color w:val="365F91" w:themeColor="accent1" w:themeShade="BF"/>
        </w:rPr>
        <w:t>Email:</w:t>
      </w:r>
      <w:r w:rsidRPr="00B7109F">
        <w:rPr>
          <w:color w:val="365F91" w:themeColor="accent1" w:themeShade="BF"/>
        </w:rPr>
        <w:t xml:space="preserve"> </w:t>
      </w:r>
      <w:hyperlink r:id="rId17" w:history="1">
        <w:r w:rsidRPr="00265EFE">
          <w:rPr>
            <w:rStyle w:val="Hyperlink"/>
            <w:color w:val="365F91" w:themeColor="accent1" w:themeShade="BF"/>
            <w:u w:val="none"/>
          </w:rPr>
          <w:t>info@tdb.co.nz</w:t>
        </w:r>
      </w:hyperlink>
    </w:p>
    <w:p w14:paraId="60D56035" w14:textId="77777777" w:rsidR="007312B2" w:rsidRPr="007852F1" w:rsidRDefault="007312B2" w:rsidP="00C048F7">
      <w:pPr>
        <w:spacing w:after="120"/>
        <w:jc w:val="right"/>
      </w:pPr>
      <w:bookmarkStart w:id="1" w:name="_Toc419377585"/>
      <w:bookmarkEnd w:id="1"/>
    </w:p>
    <w:p w14:paraId="74D8C5EA" w14:textId="77777777" w:rsidR="007312B2" w:rsidRDefault="007312B2" w:rsidP="007312B2">
      <w:pPr>
        <w:spacing w:after="120"/>
      </w:pPr>
      <w:bookmarkStart w:id="2" w:name="_Toc419377586"/>
      <w:bookmarkEnd w:id="2"/>
    </w:p>
    <w:p w14:paraId="3B2D9B18" w14:textId="77777777" w:rsidR="007312B2" w:rsidRDefault="007312B2" w:rsidP="007312B2">
      <w:pPr>
        <w:spacing w:after="120"/>
      </w:pPr>
    </w:p>
    <w:p w14:paraId="5FA3AF93" w14:textId="77777777" w:rsidR="007312B2" w:rsidRDefault="007312B2" w:rsidP="007312B2">
      <w:pPr>
        <w:spacing w:after="120"/>
      </w:pPr>
    </w:p>
    <w:p w14:paraId="25937BA9" w14:textId="77777777" w:rsidR="007312B2" w:rsidRDefault="007312B2" w:rsidP="007312B2">
      <w:pPr>
        <w:spacing w:after="120"/>
      </w:pPr>
    </w:p>
    <w:p w14:paraId="25FBD365" w14:textId="77777777" w:rsidR="007312B2" w:rsidRDefault="007312B2" w:rsidP="007312B2">
      <w:pPr>
        <w:spacing w:after="120"/>
      </w:pPr>
    </w:p>
    <w:p w14:paraId="48E98ABB" w14:textId="77777777" w:rsidR="007312B2" w:rsidRDefault="007312B2" w:rsidP="007312B2">
      <w:pPr>
        <w:spacing w:after="120"/>
      </w:pPr>
    </w:p>
    <w:p w14:paraId="427BF4E3" w14:textId="77777777" w:rsidR="007312B2" w:rsidRDefault="007312B2" w:rsidP="007312B2">
      <w:pPr>
        <w:spacing w:after="120"/>
      </w:pPr>
    </w:p>
    <w:p w14:paraId="2FEBFA24" w14:textId="6869BFBC" w:rsidR="007312B2" w:rsidRDefault="007312B2" w:rsidP="007312B2">
      <w:pPr>
        <w:rPr>
          <w:b/>
        </w:rPr>
      </w:pPr>
    </w:p>
    <w:p w14:paraId="0AE81198" w14:textId="77777777" w:rsidR="007312B2" w:rsidRDefault="007312B2" w:rsidP="007312B2">
      <w:pPr>
        <w:rPr>
          <w:b/>
        </w:rPr>
      </w:pPr>
    </w:p>
    <w:p w14:paraId="03F7B7E2" w14:textId="77777777" w:rsidR="007312B2" w:rsidRDefault="007312B2" w:rsidP="007312B2">
      <w:pPr>
        <w:rPr>
          <w:b/>
        </w:rPr>
      </w:pPr>
    </w:p>
    <w:p w14:paraId="51560D67" w14:textId="77777777" w:rsidR="007312B2" w:rsidRDefault="007312B2" w:rsidP="007312B2">
      <w:pPr>
        <w:rPr>
          <w:b/>
        </w:rPr>
      </w:pPr>
    </w:p>
    <w:p w14:paraId="6D4CFA03" w14:textId="77777777" w:rsidR="007312B2" w:rsidRDefault="007312B2" w:rsidP="007312B2">
      <w:pPr>
        <w:rPr>
          <w:b/>
        </w:rPr>
      </w:pPr>
    </w:p>
    <w:p w14:paraId="3D203DE0" w14:textId="77777777" w:rsidR="007312B2" w:rsidRPr="00825B72" w:rsidRDefault="007312B2" w:rsidP="007312B2">
      <w:pPr>
        <w:rPr>
          <w:b/>
        </w:rPr>
      </w:pPr>
      <w:r>
        <w:rPr>
          <w:b/>
        </w:rPr>
        <w:t>Principal contacts</w:t>
      </w:r>
      <w:r w:rsidRPr="00825B72">
        <w:rPr>
          <w:b/>
        </w:rPr>
        <w:t xml:space="preserve"> for this report: </w:t>
      </w:r>
    </w:p>
    <w:p w14:paraId="18F28CB9" w14:textId="04E4051B" w:rsidR="007312B2" w:rsidRPr="001B4525" w:rsidRDefault="007312B2" w:rsidP="007312B2">
      <w:pPr>
        <w:spacing w:after="0"/>
      </w:pPr>
      <w:r w:rsidRPr="001B4525">
        <w:t>Name:</w:t>
      </w:r>
      <w:r w:rsidR="000B118E">
        <w:tab/>
        <w:t>Phil Barry</w:t>
      </w:r>
      <w:r w:rsidR="000B118E">
        <w:tab/>
      </w:r>
      <w:r w:rsidR="000B118E">
        <w:tab/>
      </w:r>
      <w:r w:rsidR="000B118E">
        <w:tab/>
      </w:r>
      <w:r w:rsidR="000B118E">
        <w:tab/>
        <w:t xml:space="preserve">          </w:t>
      </w:r>
      <w:r>
        <w:t>Name:</w:t>
      </w:r>
      <w:r w:rsidR="00317973">
        <w:t xml:space="preserve">   George Nelson</w:t>
      </w:r>
    </w:p>
    <w:p w14:paraId="2C0D6096" w14:textId="02E7869A" w:rsidR="007312B2" w:rsidRPr="00AB74B4" w:rsidRDefault="007312B2" w:rsidP="007312B2">
      <w:pPr>
        <w:spacing w:after="0"/>
        <w:rPr>
          <w:color w:val="000000" w:themeColor="text1"/>
        </w:rPr>
      </w:pPr>
      <w:r w:rsidRPr="001B4525">
        <w:t>Email:</w:t>
      </w:r>
      <w:r>
        <w:tab/>
      </w:r>
      <w:r w:rsidR="000B118E">
        <w:t>phil.barry@tdb.co.nz</w:t>
      </w:r>
      <w:r w:rsidRPr="00380B9D">
        <w:rPr>
          <w:color w:val="000000" w:themeColor="text1"/>
        </w:rPr>
        <w:tab/>
      </w:r>
      <w:r>
        <w:tab/>
      </w:r>
      <w:r>
        <w:tab/>
      </w:r>
      <w:r w:rsidR="009803CF">
        <w:t xml:space="preserve">          </w:t>
      </w:r>
      <w:r w:rsidR="00317973">
        <w:t xml:space="preserve">Email:    </w:t>
      </w:r>
      <w:r w:rsidR="00290113">
        <w:t>george.nelson</w:t>
      </w:r>
      <w:r w:rsidR="00317973">
        <w:t>@</w:t>
      </w:r>
      <w:r w:rsidR="00290113">
        <w:t>tdb.co.nz</w:t>
      </w:r>
    </w:p>
    <w:p w14:paraId="183F29FE" w14:textId="71F45517" w:rsidR="007312B2" w:rsidRPr="001E267F" w:rsidRDefault="007312B2" w:rsidP="001E267F">
      <w:pPr>
        <w:rPr>
          <w:rFonts w:ascii="Times New Roman" w:eastAsia="Times New Roman" w:hAnsi="Times New Roman" w:cs="Times New Roman"/>
          <w:sz w:val="24"/>
          <w:szCs w:val="24"/>
          <w:lang w:eastAsia="zh-CN"/>
        </w:rPr>
      </w:pPr>
      <w:r w:rsidRPr="001B4525">
        <w:t>Tel:</w:t>
      </w:r>
      <w:r w:rsidR="001E267F">
        <w:t xml:space="preserve"> </w:t>
      </w:r>
      <w:r w:rsidR="00E25A01">
        <w:t xml:space="preserve">      </w:t>
      </w:r>
      <w:r w:rsidR="001F19FA">
        <w:t xml:space="preserve"> </w:t>
      </w:r>
      <w:r w:rsidR="001E267F" w:rsidRPr="001E267F">
        <w:t>021 478 426</w:t>
      </w:r>
      <w:r w:rsidR="001E267F">
        <w:rPr>
          <w:rFonts w:ascii="Times New Roman" w:eastAsia="Times New Roman" w:hAnsi="Times New Roman" w:cs="Times New Roman"/>
          <w:sz w:val="24"/>
          <w:szCs w:val="24"/>
          <w:lang w:eastAsia="zh-CN"/>
        </w:rPr>
        <w:t xml:space="preserve">            </w:t>
      </w:r>
      <w:r w:rsidR="001F19FA">
        <w:t xml:space="preserve">   </w:t>
      </w:r>
      <w:r w:rsidR="001E267F">
        <w:t xml:space="preserve">   </w:t>
      </w:r>
      <w:r w:rsidR="00E25A01">
        <w:t xml:space="preserve">  </w:t>
      </w:r>
      <w:r w:rsidR="001E267F">
        <w:t xml:space="preserve">                                 </w:t>
      </w:r>
      <w:r w:rsidR="005A0E9F">
        <w:tab/>
        <w:t xml:space="preserve">          </w:t>
      </w:r>
      <w:r w:rsidR="00E25A01">
        <w:t xml:space="preserve">Tel:    </w:t>
      </w:r>
      <w:r w:rsidR="005A0E9F">
        <w:t xml:space="preserve">      </w:t>
      </w:r>
      <w:r w:rsidR="001E267F">
        <w:t>028 416 2</w:t>
      </w:r>
      <w:r w:rsidR="00E25A01">
        <w:t>849</w:t>
      </w:r>
    </w:p>
    <w:p w14:paraId="4A3AC466" w14:textId="77777777" w:rsidR="007312B2" w:rsidRDefault="007312B2" w:rsidP="007312B2">
      <w:pPr>
        <w:spacing w:after="120"/>
        <w:rPr>
          <w:b/>
        </w:rPr>
      </w:pPr>
    </w:p>
    <w:p w14:paraId="4B8D4FB3" w14:textId="77777777" w:rsidR="007312B2" w:rsidRPr="00825B72" w:rsidRDefault="007312B2" w:rsidP="007312B2">
      <w:pPr>
        <w:spacing w:after="120"/>
        <w:rPr>
          <w:b/>
        </w:rPr>
      </w:pPr>
      <w:r>
        <w:rPr>
          <w:b/>
        </w:rPr>
        <w:t>D</w:t>
      </w:r>
      <w:r w:rsidRPr="00825B72">
        <w:rPr>
          <w:b/>
        </w:rPr>
        <w:t>isclaimer</w:t>
      </w:r>
    </w:p>
    <w:p w14:paraId="07376D48" w14:textId="77777777" w:rsidR="007312B2" w:rsidRPr="00D57A5D" w:rsidRDefault="007312B2" w:rsidP="007312B2">
      <w:pPr>
        <w:spacing w:after="120"/>
      </w:pPr>
      <w:r w:rsidRPr="00D57A5D">
        <w:t>This report has been prepared by TDB Advisory Ltd (TDB) with care and diligence. The statements and opinions given by TDB in this report are given in good faith and in the belief on reasonable grounds that such statements and opinions are correct and not misleading. However, no responsibility is accepted by TDB or any of its officers, employees, subcontractors or agents for errors or omissions arising out of the preparation of this report, or for any consequences of reliance on its content or for discussions arising out of or associated with its preparation.</w:t>
      </w:r>
      <w:r w:rsidRPr="00D57A5D">
        <w:br w:type="page"/>
      </w:r>
    </w:p>
    <w:sdt>
      <w:sdtPr>
        <w:rPr>
          <w:rFonts w:eastAsia="Times New Roman" w:cs="Times New Roman"/>
          <w:b/>
          <w:sz w:val="24"/>
          <w:szCs w:val="24"/>
        </w:rPr>
        <w:id w:val="-375697158"/>
        <w:docPartObj>
          <w:docPartGallery w:val="Table of Contents"/>
          <w:docPartUnique/>
        </w:docPartObj>
      </w:sdtPr>
      <w:sdtEndPr>
        <w:rPr>
          <w:rFonts w:eastAsia="MS Mincho" w:cstheme="minorBidi"/>
          <w:b w:val="0"/>
          <w:sz w:val="20"/>
          <w:szCs w:val="20"/>
        </w:rPr>
      </w:sdtEndPr>
      <w:sdtContent>
        <w:p w14:paraId="4C54FE93" w14:textId="5A45F56E" w:rsidR="00825B72" w:rsidRPr="007868BF" w:rsidRDefault="0000761B" w:rsidP="00463A14">
          <w:pPr>
            <w:rPr>
              <w:rFonts w:ascii="Open Sans Semibold" w:eastAsiaTheme="majorEastAsia" w:hAnsi="Open Sans Semibold" w:cstheme="majorBidi"/>
              <w:b/>
              <w:bCs/>
              <w:noProof/>
              <w:color w:val="36497F"/>
              <w:sz w:val="32"/>
              <w:szCs w:val="32"/>
              <w:lang w:val="en-GB" w:eastAsia="zh-CN"/>
            </w:rPr>
          </w:pPr>
          <w:r w:rsidRPr="007868BF">
            <w:rPr>
              <w:rFonts w:ascii="Open Sans Semibold" w:eastAsiaTheme="majorEastAsia" w:hAnsi="Open Sans Semibold" w:cstheme="majorBidi"/>
              <w:b/>
              <w:bCs/>
              <w:noProof/>
              <w:color w:val="36497F"/>
              <w:sz w:val="32"/>
              <w:szCs w:val="32"/>
              <w:lang w:val="en-GB" w:eastAsia="zh-CN"/>
            </w:rPr>
            <w:drawing>
              <wp:anchor distT="0" distB="0" distL="114300" distR="114300" simplePos="0" relativeHeight="251709440" behindDoc="1" locked="0" layoutInCell="1" allowOverlap="1" wp14:anchorId="04CB6F0F" wp14:editId="7616F9CF">
                <wp:simplePos x="0" y="0"/>
                <wp:positionH relativeFrom="column">
                  <wp:posOffset>0</wp:posOffset>
                </wp:positionH>
                <wp:positionV relativeFrom="paragraph">
                  <wp:posOffset>516841</wp:posOffset>
                </wp:positionV>
                <wp:extent cx="8779510" cy="45085"/>
                <wp:effectExtent l="0" t="0" r="889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779510" cy="45085"/>
                        </a:xfrm>
                        <a:prstGeom prst="rect">
                          <a:avLst/>
                        </a:prstGeom>
                      </pic:spPr>
                    </pic:pic>
                  </a:graphicData>
                </a:graphic>
                <wp14:sizeRelH relativeFrom="page">
                  <wp14:pctWidth>0</wp14:pctWidth>
                </wp14:sizeRelH>
                <wp14:sizeRelV relativeFrom="page">
                  <wp14:pctHeight>0</wp14:pctHeight>
                </wp14:sizeRelV>
              </wp:anchor>
            </w:drawing>
          </w:r>
          <w:r w:rsidR="00825B72" w:rsidRPr="007868BF">
            <w:rPr>
              <w:rFonts w:ascii="Open Sans Semibold" w:eastAsiaTheme="majorEastAsia" w:hAnsi="Open Sans Semibold" w:cstheme="majorBidi"/>
              <w:b/>
              <w:bCs/>
              <w:noProof/>
              <w:color w:val="36497F"/>
              <w:sz w:val="32"/>
              <w:szCs w:val="32"/>
              <w:lang w:val="en-GB" w:eastAsia="zh-CN"/>
            </w:rPr>
            <w:t>Table of contents</w:t>
          </w:r>
        </w:p>
        <w:p w14:paraId="490EF8EA" w14:textId="77777777" w:rsidR="007312B2" w:rsidRPr="008C75D3" w:rsidRDefault="007312B2" w:rsidP="00463A14">
          <w:pPr>
            <w:rPr>
              <w:noProof/>
              <w:lang w:val="en-GB" w:eastAsia="zh-TW"/>
            </w:rPr>
          </w:pPr>
        </w:p>
        <w:p w14:paraId="3845DFC3" w14:textId="678C6835" w:rsidR="005A0E9F" w:rsidRDefault="00560EEC">
          <w:pPr>
            <w:pStyle w:val="TOC1"/>
            <w:rPr>
              <w:rFonts w:asciiTheme="minorHAnsi" w:eastAsiaTheme="minorEastAsia" w:hAnsiTheme="minorHAnsi"/>
              <w:noProof/>
              <w:color w:val="auto"/>
              <w:sz w:val="22"/>
              <w:szCs w:val="22"/>
              <w:lang w:eastAsia="en-NZ"/>
            </w:rPr>
          </w:pPr>
          <w:r w:rsidRPr="008C75D3">
            <w:rPr>
              <w:b/>
              <w:bCs/>
            </w:rPr>
            <w:fldChar w:fldCharType="begin"/>
          </w:r>
          <w:r w:rsidRPr="008C75D3">
            <w:rPr>
              <w:b/>
              <w:bCs/>
            </w:rPr>
            <w:instrText xml:space="preserve"> TOC \o "1-2" </w:instrText>
          </w:r>
          <w:r w:rsidRPr="008C75D3">
            <w:rPr>
              <w:b/>
              <w:bCs/>
            </w:rPr>
            <w:fldChar w:fldCharType="separate"/>
          </w:r>
          <w:r w:rsidR="005A0E9F" w:rsidRPr="006D2C73">
            <w:rPr>
              <w:noProof/>
            </w:rPr>
            <w:t>1.</w:t>
          </w:r>
          <w:r w:rsidR="005A0E9F">
            <w:rPr>
              <w:rFonts w:asciiTheme="minorHAnsi" w:eastAsiaTheme="minorEastAsia" w:hAnsiTheme="minorHAnsi"/>
              <w:noProof/>
              <w:color w:val="auto"/>
              <w:sz w:val="22"/>
              <w:szCs w:val="22"/>
              <w:lang w:eastAsia="en-NZ"/>
            </w:rPr>
            <w:tab/>
          </w:r>
          <w:r w:rsidR="005A0E9F">
            <w:rPr>
              <w:noProof/>
            </w:rPr>
            <w:t>Introduction</w:t>
          </w:r>
          <w:r w:rsidR="005A0E9F">
            <w:rPr>
              <w:noProof/>
            </w:rPr>
            <w:tab/>
          </w:r>
          <w:r w:rsidR="005A0E9F">
            <w:rPr>
              <w:noProof/>
            </w:rPr>
            <w:fldChar w:fldCharType="begin"/>
          </w:r>
          <w:r w:rsidR="005A0E9F">
            <w:rPr>
              <w:noProof/>
            </w:rPr>
            <w:instrText xml:space="preserve"> PAGEREF _Toc533411188 \h </w:instrText>
          </w:r>
          <w:r w:rsidR="005A0E9F">
            <w:rPr>
              <w:noProof/>
            </w:rPr>
          </w:r>
          <w:r w:rsidR="005A0E9F">
            <w:rPr>
              <w:noProof/>
            </w:rPr>
            <w:fldChar w:fldCharType="separate"/>
          </w:r>
          <w:r w:rsidR="0034416C">
            <w:rPr>
              <w:noProof/>
            </w:rPr>
            <w:t>5</w:t>
          </w:r>
          <w:r w:rsidR="005A0E9F">
            <w:rPr>
              <w:noProof/>
            </w:rPr>
            <w:fldChar w:fldCharType="end"/>
          </w:r>
        </w:p>
        <w:p w14:paraId="6BA60F3C" w14:textId="1A913A2C" w:rsidR="005A0E9F" w:rsidRDefault="005A0E9F">
          <w:pPr>
            <w:pStyle w:val="TOC1"/>
            <w:rPr>
              <w:rFonts w:asciiTheme="minorHAnsi" w:eastAsiaTheme="minorEastAsia" w:hAnsiTheme="minorHAnsi"/>
              <w:noProof/>
              <w:color w:val="auto"/>
              <w:sz w:val="22"/>
              <w:szCs w:val="22"/>
              <w:lang w:eastAsia="en-NZ"/>
            </w:rPr>
          </w:pPr>
          <w:r w:rsidRPr="006D2C73">
            <w:rPr>
              <w:noProof/>
            </w:rPr>
            <w:t>2.</w:t>
          </w:r>
          <w:r>
            <w:rPr>
              <w:rFonts w:asciiTheme="minorHAnsi" w:eastAsiaTheme="minorEastAsia" w:hAnsiTheme="minorHAnsi"/>
              <w:noProof/>
              <w:color w:val="auto"/>
              <w:sz w:val="22"/>
              <w:szCs w:val="22"/>
              <w:lang w:eastAsia="en-NZ"/>
            </w:rPr>
            <w:tab/>
          </w:r>
          <w:r>
            <w:rPr>
              <w:noProof/>
            </w:rPr>
            <w:t>Background</w:t>
          </w:r>
          <w:r>
            <w:rPr>
              <w:noProof/>
            </w:rPr>
            <w:tab/>
          </w:r>
          <w:r>
            <w:rPr>
              <w:noProof/>
            </w:rPr>
            <w:fldChar w:fldCharType="begin"/>
          </w:r>
          <w:r>
            <w:rPr>
              <w:noProof/>
            </w:rPr>
            <w:instrText xml:space="preserve"> PAGEREF _Toc533411189 \h </w:instrText>
          </w:r>
          <w:r>
            <w:rPr>
              <w:noProof/>
            </w:rPr>
          </w:r>
          <w:r>
            <w:rPr>
              <w:noProof/>
            </w:rPr>
            <w:fldChar w:fldCharType="separate"/>
          </w:r>
          <w:r w:rsidR="0034416C">
            <w:rPr>
              <w:noProof/>
            </w:rPr>
            <w:t>6</w:t>
          </w:r>
          <w:r>
            <w:rPr>
              <w:noProof/>
            </w:rPr>
            <w:fldChar w:fldCharType="end"/>
          </w:r>
        </w:p>
        <w:p w14:paraId="5CA35101" w14:textId="28CAA1A7" w:rsidR="005A0E9F" w:rsidRDefault="005A0E9F">
          <w:pPr>
            <w:pStyle w:val="TOC2"/>
            <w:rPr>
              <w:rFonts w:asciiTheme="minorHAnsi" w:eastAsiaTheme="minorEastAsia" w:hAnsiTheme="minorHAnsi"/>
              <w:noProof/>
              <w:color w:val="auto"/>
              <w:sz w:val="22"/>
              <w:szCs w:val="22"/>
              <w:lang w:eastAsia="en-NZ"/>
            </w:rPr>
          </w:pPr>
          <w:r>
            <w:rPr>
              <w:noProof/>
            </w:rPr>
            <w:t>2.1</w:t>
          </w:r>
          <w:r>
            <w:rPr>
              <w:rFonts w:asciiTheme="minorHAnsi" w:eastAsiaTheme="minorEastAsia" w:hAnsiTheme="minorHAnsi"/>
              <w:noProof/>
              <w:color w:val="auto"/>
              <w:sz w:val="22"/>
              <w:szCs w:val="22"/>
              <w:lang w:eastAsia="en-NZ"/>
            </w:rPr>
            <w:tab/>
          </w:r>
          <w:r>
            <w:rPr>
              <w:noProof/>
            </w:rPr>
            <w:t>The development of development contributions</w:t>
          </w:r>
          <w:r>
            <w:rPr>
              <w:noProof/>
            </w:rPr>
            <w:tab/>
          </w:r>
          <w:r>
            <w:rPr>
              <w:noProof/>
            </w:rPr>
            <w:fldChar w:fldCharType="begin"/>
          </w:r>
          <w:r>
            <w:rPr>
              <w:noProof/>
            </w:rPr>
            <w:instrText xml:space="preserve"> PAGEREF _Toc533411190 \h </w:instrText>
          </w:r>
          <w:r>
            <w:rPr>
              <w:noProof/>
            </w:rPr>
          </w:r>
          <w:r>
            <w:rPr>
              <w:noProof/>
            </w:rPr>
            <w:fldChar w:fldCharType="separate"/>
          </w:r>
          <w:r w:rsidR="0034416C">
            <w:rPr>
              <w:noProof/>
            </w:rPr>
            <w:t>6</w:t>
          </w:r>
          <w:r>
            <w:rPr>
              <w:noProof/>
            </w:rPr>
            <w:fldChar w:fldCharType="end"/>
          </w:r>
        </w:p>
        <w:p w14:paraId="006775E6" w14:textId="52D95B46" w:rsidR="005A0E9F" w:rsidRDefault="005A0E9F">
          <w:pPr>
            <w:pStyle w:val="TOC2"/>
            <w:rPr>
              <w:rFonts w:asciiTheme="minorHAnsi" w:eastAsiaTheme="minorEastAsia" w:hAnsiTheme="minorHAnsi"/>
              <w:noProof/>
              <w:color w:val="auto"/>
              <w:sz w:val="22"/>
              <w:szCs w:val="22"/>
              <w:lang w:eastAsia="en-NZ"/>
            </w:rPr>
          </w:pPr>
          <w:r>
            <w:rPr>
              <w:noProof/>
            </w:rPr>
            <w:t>2.2</w:t>
          </w:r>
          <w:r>
            <w:rPr>
              <w:rFonts w:asciiTheme="minorHAnsi" w:eastAsiaTheme="minorEastAsia" w:hAnsiTheme="minorHAnsi"/>
              <w:noProof/>
              <w:color w:val="auto"/>
              <w:sz w:val="22"/>
              <w:szCs w:val="22"/>
              <w:lang w:eastAsia="en-NZ"/>
            </w:rPr>
            <w:tab/>
          </w:r>
          <w:r>
            <w:rPr>
              <w:noProof/>
            </w:rPr>
            <w:t>Charging based on Housing Unit Equivalents (HUEs)</w:t>
          </w:r>
          <w:r>
            <w:rPr>
              <w:noProof/>
            </w:rPr>
            <w:tab/>
          </w:r>
          <w:r>
            <w:rPr>
              <w:noProof/>
            </w:rPr>
            <w:fldChar w:fldCharType="begin"/>
          </w:r>
          <w:r>
            <w:rPr>
              <w:noProof/>
            </w:rPr>
            <w:instrText xml:space="preserve"> PAGEREF _Toc533411191 \h </w:instrText>
          </w:r>
          <w:r>
            <w:rPr>
              <w:noProof/>
            </w:rPr>
          </w:r>
          <w:r>
            <w:rPr>
              <w:noProof/>
            </w:rPr>
            <w:fldChar w:fldCharType="separate"/>
          </w:r>
          <w:r w:rsidR="0034416C">
            <w:rPr>
              <w:noProof/>
            </w:rPr>
            <w:t>7</w:t>
          </w:r>
          <w:r>
            <w:rPr>
              <w:noProof/>
            </w:rPr>
            <w:fldChar w:fldCharType="end"/>
          </w:r>
        </w:p>
        <w:p w14:paraId="1C22A690" w14:textId="53842001" w:rsidR="005A0E9F" w:rsidRDefault="005A0E9F">
          <w:pPr>
            <w:pStyle w:val="TOC2"/>
            <w:rPr>
              <w:rFonts w:asciiTheme="minorHAnsi" w:eastAsiaTheme="minorEastAsia" w:hAnsiTheme="minorHAnsi"/>
              <w:noProof/>
              <w:color w:val="auto"/>
              <w:sz w:val="22"/>
              <w:szCs w:val="22"/>
              <w:lang w:eastAsia="en-NZ"/>
            </w:rPr>
          </w:pPr>
          <w:r>
            <w:rPr>
              <w:noProof/>
            </w:rPr>
            <w:t>2.3</w:t>
          </w:r>
          <w:r>
            <w:rPr>
              <w:rFonts w:asciiTheme="minorHAnsi" w:eastAsiaTheme="minorEastAsia" w:hAnsiTheme="minorHAnsi"/>
              <w:noProof/>
              <w:color w:val="auto"/>
              <w:sz w:val="22"/>
              <w:szCs w:val="22"/>
              <w:lang w:eastAsia="en-NZ"/>
            </w:rPr>
            <w:tab/>
          </w:r>
          <w:r>
            <w:rPr>
              <w:noProof/>
            </w:rPr>
            <w:t>2012 review of development contributions</w:t>
          </w:r>
          <w:r>
            <w:rPr>
              <w:noProof/>
            </w:rPr>
            <w:tab/>
          </w:r>
          <w:r>
            <w:rPr>
              <w:noProof/>
            </w:rPr>
            <w:fldChar w:fldCharType="begin"/>
          </w:r>
          <w:r>
            <w:rPr>
              <w:noProof/>
            </w:rPr>
            <w:instrText xml:space="preserve"> PAGEREF _Toc533411192 \h </w:instrText>
          </w:r>
          <w:r>
            <w:rPr>
              <w:noProof/>
            </w:rPr>
          </w:r>
          <w:r>
            <w:rPr>
              <w:noProof/>
            </w:rPr>
            <w:fldChar w:fldCharType="separate"/>
          </w:r>
          <w:r w:rsidR="0034416C">
            <w:rPr>
              <w:noProof/>
            </w:rPr>
            <w:t>8</w:t>
          </w:r>
          <w:r>
            <w:rPr>
              <w:noProof/>
            </w:rPr>
            <w:fldChar w:fldCharType="end"/>
          </w:r>
        </w:p>
        <w:p w14:paraId="785CAA04" w14:textId="5AE5BFAA" w:rsidR="005A0E9F" w:rsidRDefault="005A0E9F">
          <w:pPr>
            <w:pStyle w:val="TOC2"/>
            <w:rPr>
              <w:rFonts w:asciiTheme="minorHAnsi" w:eastAsiaTheme="minorEastAsia" w:hAnsiTheme="minorHAnsi"/>
              <w:noProof/>
              <w:color w:val="auto"/>
              <w:sz w:val="22"/>
              <w:szCs w:val="22"/>
              <w:lang w:eastAsia="en-NZ"/>
            </w:rPr>
          </w:pPr>
          <w:r>
            <w:rPr>
              <w:noProof/>
            </w:rPr>
            <w:t>2.4</w:t>
          </w:r>
          <w:r>
            <w:rPr>
              <w:rFonts w:asciiTheme="minorHAnsi" w:eastAsiaTheme="minorEastAsia" w:hAnsiTheme="minorHAnsi"/>
              <w:noProof/>
              <w:color w:val="auto"/>
              <w:sz w:val="22"/>
              <w:szCs w:val="22"/>
              <w:lang w:eastAsia="en-NZ"/>
            </w:rPr>
            <w:tab/>
          </w:r>
          <w:r>
            <w:rPr>
              <w:noProof/>
            </w:rPr>
            <w:t>Local Government Act, 2002 Amendment Act, 2014</w:t>
          </w:r>
          <w:r>
            <w:rPr>
              <w:noProof/>
            </w:rPr>
            <w:tab/>
          </w:r>
          <w:r>
            <w:rPr>
              <w:noProof/>
            </w:rPr>
            <w:fldChar w:fldCharType="begin"/>
          </w:r>
          <w:r>
            <w:rPr>
              <w:noProof/>
            </w:rPr>
            <w:instrText xml:space="preserve"> PAGEREF _Toc533411193 \h </w:instrText>
          </w:r>
          <w:r>
            <w:rPr>
              <w:noProof/>
            </w:rPr>
          </w:r>
          <w:r>
            <w:rPr>
              <w:noProof/>
            </w:rPr>
            <w:fldChar w:fldCharType="separate"/>
          </w:r>
          <w:r w:rsidR="0034416C">
            <w:rPr>
              <w:noProof/>
            </w:rPr>
            <w:t>8</w:t>
          </w:r>
          <w:r>
            <w:rPr>
              <w:noProof/>
            </w:rPr>
            <w:fldChar w:fldCharType="end"/>
          </w:r>
        </w:p>
        <w:p w14:paraId="15F36387" w14:textId="290977C0" w:rsidR="005A0E9F" w:rsidRDefault="005A0E9F">
          <w:pPr>
            <w:pStyle w:val="TOC2"/>
            <w:rPr>
              <w:rFonts w:asciiTheme="minorHAnsi" w:eastAsiaTheme="minorEastAsia" w:hAnsiTheme="minorHAnsi"/>
              <w:noProof/>
              <w:color w:val="auto"/>
              <w:sz w:val="22"/>
              <w:szCs w:val="22"/>
              <w:lang w:eastAsia="en-NZ"/>
            </w:rPr>
          </w:pPr>
          <w:r>
            <w:rPr>
              <w:noProof/>
            </w:rPr>
            <w:t>2.5</w:t>
          </w:r>
          <w:r>
            <w:rPr>
              <w:rFonts w:asciiTheme="minorHAnsi" w:eastAsiaTheme="minorEastAsia" w:hAnsiTheme="minorHAnsi"/>
              <w:noProof/>
              <w:color w:val="auto"/>
              <w:sz w:val="22"/>
              <w:szCs w:val="22"/>
              <w:lang w:eastAsia="en-NZ"/>
            </w:rPr>
            <w:tab/>
          </w:r>
          <w:r>
            <w:rPr>
              <w:noProof/>
            </w:rPr>
            <w:t>Development contribution purpose and principles</w:t>
          </w:r>
          <w:r>
            <w:rPr>
              <w:noProof/>
            </w:rPr>
            <w:tab/>
          </w:r>
          <w:r>
            <w:rPr>
              <w:noProof/>
            </w:rPr>
            <w:fldChar w:fldCharType="begin"/>
          </w:r>
          <w:r>
            <w:rPr>
              <w:noProof/>
            </w:rPr>
            <w:instrText xml:space="preserve"> PAGEREF _Toc533411194 \h </w:instrText>
          </w:r>
          <w:r>
            <w:rPr>
              <w:noProof/>
            </w:rPr>
          </w:r>
          <w:r>
            <w:rPr>
              <w:noProof/>
            </w:rPr>
            <w:fldChar w:fldCharType="separate"/>
          </w:r>
          <w:r w:rsidR="0034416C">
            <w:rPr>
              <w:noProof/>
            </w:rPr>
            <w:t>9</w:t>
          </w:r>
          <w:r>
            <w:rPr>
              <w:noProof/>
            </w:rPr>
            <w:fldChar w:fldCharType="end"/>
          </w:r>
        </w:p>
        <w:p w14:paraId="353DE020" w14:textId="24342F65" w:rsidR="005A0E9F" w:rsidRDefault="005A0E9F">
          <w:pPr>
            <w:pStyle w:val="TOC1"/>
            <w:rPr>
              <w:rFonts w:asciiTheme="minorHAnsi" w:eastAsiaTheme="minorEastAsia" w:hAnsiTheme="minorHAnsi"/>
              <w:noProof/>
              <w:color w:val="auto"/>
              <w:sz w:val="22"/>
              <w:szCs w:val="22"/>
              <w:lang w:eastAsia="en-NZ"/>
            </w:rPr>
          </w:pPr>
          <w:r w:rsidRPr="006D2C73">
            <w:rPr>
              <w:noProof/>
            </w:rPr>
            <w:t>3.</w:t>
          </w:r>
          <w:r>
            <w:rPr>
              <w:rFonts w:asciiTheme="minorHAnsi" w:eastAsiaTheme="minorEastAsia" w:hAnsiTheme="minorHAnsi"/>
              <w:noProof/>
              <w:color w:val="auto"/>
              <w:sz w:val="22"/>
              <w:szCs w:val="22"/>
              <w:lang w:eastAsia="en-NZ"/>
            </w:rPr>
            <w:tab/>
          </w:r>
          <w:r>
            <w:rPr>
              <w:noProof/>
            </w:rPr>
            <w:t>The current level of DC charging</w:t>
          </w:r>
          <w:r>
            <w:rPr>
              <w:noProof/>
            </w:rPr>
            <w:tab/>
          </w:r>
          <w:r>
            <w:rPr>
              <w:noProof/>
            </w:rPr>
            <w:fldChar w:fldCharType="begin"/>
          </w:r>
          <w:r>
            <w:rPr>
              <w:noProof/>
            </w:rPr>
            <w:instrText xml:space="preserve"> PAGEREF _Toc533411195 \h </w:instrText>
          </w:r>
          <w:r>
            <w:rPr>
              <w:noProof/>
            </w:rPr>
          </w:r>
          <w:r>
            <w:rPr>
              <w:noProof/>
            </w:rPr>
            <w:fldChar w:fldCharType="separate"/>
          </w:r>
          <w:r w:rsidR="0034416C">
            <w:rPr>
              <w:noProof/>
            </w:rPr>
            <w:t>11</w:t>
          </w:r>
          <w:r>
            <w:rPr>
              <w:noProof/>
            </w:rPr>
            <w:fldChar w:fldCharType="end"/>
          </w:r>
        </w:p>
        <w:p w14:paraId="21CBFA4D" w14:textId="1AB6E743" w:rsidR="005A0E9F" w:rsidRDefault="005A0E9F">
          <w:pPr>
            <w:pStyle w:val="TOC1"/>
            <w:rPr>
              <w:rFonts w:asciiTheme="minorHAnsi" w:eastAsiaTheme="minorEastAsia" w:hAnsiTheme="minorHAnsi"/>
              <w:noProof/>
              <w:color w:val="auto"/>
              <w:sz w:val="22"/>
              <w:szCs w:val="22"/>
              <w:lang w:eastAsia="en-NZ"/>
            </w:rPr>
          </w:pPr>
          <w:r w:rsidRPr="006D2C73">
            <w:rPr>
              <w:noProof/>
            </w:rPr>
            <w:t>4.</w:t>
          </w:r>
          <w:r>
            <w:rPr>
              <w:rFonts w:asciiTheme="minorHAnsi" w:eastAsiaTheme="minorEastAsia" w:hAnsiTheme="minorHAnsi"/>
              <w:noProof/>
              <w:color w:val="auto"/>
              <w:sz w:val="22"/>
              <w:szCs w:val="22"/>
              <w:lang w:eastAsia="en-NZ"/>
            </w:rPr>
            <w:tab/>
          </w:r>
          <w:r>
            <w:rPr>
              <w:noProof/>
            </w:rPr>
            <w:t>The key issues</w:t>
          </w:r>
          <w:r>
            <w:rPr>
              <w:noProof/>
            </w:rPr>
            <w:tab/>
          </w:r>
          <w:r>
            <w:rPr>
              <w:noProof/>
            </w:rPr>
            <w:fldChar w:fldCharType="begin"/>
          </w:r>
          <w:r>
            <w:rPr>
              <w:noProof/>
            </w:rPr>
            <w:instrText xml:space="preserve"> PAGEREF _Toc533411196 \h </w:instrText>
          </w:r>
          <w:r>
            <w:rPr>
              <w:noProof/>
            </w:rPr>
          </w:r>
          <w:r>
            <w:rPr>
              <w:noProof/>
            </w:rPr>
            <w:fldChar w:fldCharType="separate"/>
          </w:r>
          <w:r w:rsidR="0034416C">
            <w:rPr>
              <w:noProof/>
            </w:rPr>
            <w:t>14</w:t>
          </w:r>
          <w:r>
            <w:rPr>
              <w:noProof/>
            </w:rPr>
            <w:fldChar w:fldCharType="end"/>
          </w:r>
        </w:p>
        <w:p w14:paraId="294E2B2C" w14:textId="2E60EE91" w:rsidR="005A0E9F" w:rsidRDefault="005A0E9F">
          <w:pPr>
            <w:pStyle w:val="TOC2"/>
            <w:rPr>
              <w:rFonts w:asciiTheme="minorHAnsi" w:eastAsiaTheme="minorEastAsia" w:hAnsiTheme="minorHAnsi"/>
              <w:noProof/>
              <w:color w:val="auto"/>
              <w:sz w:val="22"/>
              <w:szCs w:val="22"/>
              <w:lang w:eastAsia="en-NZ"/>
            </w:rPr>
          </w:pPr>
          <w:r>
            <w:rPr>
              <w:noProof/>
            </w:rPr>
            <w:t>4.1</w:t>
          </w:r>
          <w:r>
            <w:rPr>
              <w:rFonts w:asciiTheme="minorHAnsi" w:eastAsiaTheme="minorEastAsia" w:hAnsiTheme="minorHAnsi"/>
              <w:noProof/>
              <w:color w:val="auto"/>
              <w:sz w:val="22"/>
              <w:szCs w:val="22"/>
              <w:lang w:eastAsia="en-NZ"/>
            </w:rPr>
            <w:tab/>
          </w:r>
          <w:r>
            <w:rPr>
              <w:noProof/>
            </w:rPr>
            <w:t>Disproportionate charging</w:t>
          </w:r>
          <w:r>
            <w:rPr>
              <w:noProof/>
            </w:rPr>
            <w:tab/>
          </w:r>
          <w:r>
            <w:rPr>
              <w:noProof/>
            </w:rPr>
            <w:fldChar w:fldCharType="begin"/>
          </w:r>
          <w:r>
            <w:rPr>
              <w:noProof/>
            </w:rPr>
            <w:instrText xml:space="preserve"> PAGEREF _Toc533411197 \h </w:instrText>
          </w:r>
          <w:r>
            <w:rPr>
              <w:noProof/>
            </w:rPr>
          </w:r>
          <w:r>
            <w:rPr>
              <w:noProof/>
            </w:rPr>
            <w:fldChar w:fldCharType="separate"/>
          </w:r>
          <w:r w:rsidR="0034416C">
            <w:rPr>
              <w:noProof/>
            </w:rPr>
            <w:t>15</w:t>
          </w:r>
          <w:r>
            <w:rPr>
              <w:noProof/>
            </w:rPr>
            <w:fldChar w:fldCharType="end"/>
          </w:r>
        </w:p>
        <w:p w14:paraId="36DB1099" w14:textId="20576B38" w:rsidR="005A0E9F" w:rsidRDefault="005A0E9F">
          <w:pPr>
            <w:pStyle w:val="TOC2"/>
            <w:rPr>
              <w:rFonts w:asciiTheme="minorHAnsi" w:eastAsiaTheme="minorEastAsia" w:hAnsiTheme="minorHAnsi"/>
              <w:noProof/>
              <w:color w:val="auto"/>
              <w:sz w:val="22"/>
              <w:szCs w:val="22"/>
              <w:lang w:eastAsia="en-NZ"/>
            </w:rPr>
          </w:pPr>
          <w:r>
            <w:rPr>
              <w:noProof/>
            </w:rPr>
            <w:t>4.2</w:t>
          </w:r>
          <w:r>
            <w:rPr>
              <w:rFonts w:asciiTheme="minorHAnsi" w:eastAsiaTheme="minorEastAsia" w:hAnsiTheme="minorHAnsi"/>
              <w:noProof/>
              <w:color w:val="auto"/>
              <w:sz w:val="22"/>
              <w:szCs w:val="22"/>
              <w:lang w:eastAsia="en-NZ"/>
            </w:rPr>
            <w:tab/>
          </w:r>
          <w:r>
            <w:rPr>
              <w:noProof/>
            </w:rPr>
            <w:t>Variations in charging</w:t>
          </w:r>
          <w:r>
            <w:rPr>
              <w:noProof/>
            </w:rPr>
            <w:tab/>
          </w:r>
          <w:r>
            <w:rPr>
              <w:noProof/>
            </w:rPr>
            <w:fldChar w:fldCharType="begin"/>
          </w:r>
          <w:r>
            <w:rPr>
              <w:noProof/>
            </w:rPr>
            <w:instrText xml:space="preserve"> PAGEREF _Toc533411198 \h </w:instrText>
          </w:r>
          <w:r>
            <w:rPr>
              <w:noProof/>
            </w:rPr>
          </w:r>
          <w:r>
            <w:rPr>
              <w:noProof/>
            </w:rPr>
            <w:fldChar w:fldCharType="separate"/>
          </w:r>
          <w:r w:rsidR="0034416C">
            <w:rPr>
              <w:noProof/>
            </w:rPr>
            <w:t>19</w:t>
          </w:r>
          <w:r>
            <w:rPr>
              <w:noProof/>
            </w:rPr>
            <w:fldChar w:fldCharType="end"/>
          </w:r>
        </w:p>
        <w:p w14:paraId="0D18A0B7" w14:textId="59DE458F" w:rsidR="005A0E9F" w:rsidRDefault="005A0E9F">
          <w:pPr>
            <w:pStyle w:val="TOC2"/>
            <w:rPr>
              <w:rFonts w:asciiTheme="minorHAnsi" w:eastAsiaTheme="minorEastAsia" w:hAnsiTheme="minorHAnsi"/>
              <w:noProof/>
              <w:color w:val="auto"/>
              <w:sz w:val="22"/>
              <w:szCs w:val="22"/>
              <w:lang w:eastAsia="en-NZ"/>
            </w:rPr>
          </w:pPr>
          <w:r>
            <w:rPr>
              <w:noProof/>
            </w:rPr>
            <w:t>4.3</w:t>
          </w:r>
          <w:r>
            <w:rPr>
              <w:rFonts w:asciiTheme="minorHAnsi" w:eastAsiaTheme="minorEastAsia" w:hAnsiTheme="minorHAnsi"/>
              <w:noProof/>
              <w:color w:val="auto"/>
              <w:sz w:val="22"/>
              <w:szCs w:val="22"/>
              <w:lang w:eastAsia="en-NZ"/>
            </w:rPr>
            <w:tab/>
          </w:r>
          <w:r>
            <w:rPr>
              <w:noProof/>
            </w:rPr>
            <w:t>Lack of transparency</w:t>
          </w:r>
          <w:r>
            <w:rPr>
              <w:noProof/>
            </w:rPr>
            <w:tab/>
          </w:r>
          <w:r>
            <w:rPr>
              <w:noProof/>
            </w:rPr>
            <w:fldChar w:fldCharType="begin"/>
          </w:r>
          <w:r>
            <w:rPr>
              <w:noProof/>
            </w:rPr>
            <w:instrText xml:space="preserve"> PAGEREF _Toc533411199 \h </w:instrText>
          </w:r>
          <w:r>
            <w:rPr>
              <w:noProof/>
            </w:rPr>
          </w:r>
          <w:r>
            <w:rPr>
              <w:noProof/>
            </w:rPr>
            <w:fldChar w:fldCharType="separate"/>
          </w:r>
          <w:r w:rsidR="0034416C">
            <w:rPr>
              <w:noProof/>
            </w:rPr>
            <w:t>23</w:t>
          </w:r>
          <w:r>
            <w:rPr>
              <w:noProof/>
            </w:rPr>
            <w:fldChar w:fldCharType="end"/>
          </w:r>
        </w:p>
        <w:p w14:paraId="04DA4BE0" w14:textId="32FF73A4" w:rsidR="005A0E9F" w:rsidRDefault="005A0E9F">
          <w:pPr>
            <w:pStyle w:val="TOC2"/>
            <w:rPr>
              <w:rFonts w:asciiTheme="minorHAnsi" w:eastAsiaTheme="minorEastAsia" w:hAnsiTheme="minorHAnsi"/>
              <w:noProof/>
              <w:color w:val="auto"/>
              <w:sz w:val="22"/>
              <w:szCs w:val="22"/>
              <w:lang w:eastAsia="en-NZ"/>
            </w:rPr>
          </w:pPr>
          <w:r>
            <w:rPr>
              <w:noProof/>
            </w:rPr>
            <w:t>4.4</w:t>
          </w:r>
          <w:r>
            <w:rPr>
              <w:rFonts w:asciiTheme="minorHAnsi" w:eastAsiaTheme="minorEastAsia" w:hAnsiTheme="minorHAnsi"/>
              <w:noProof/>
              <w:color w:val="auto"/>
              <w:sz w:val="22"/>
              <w:szCs w:val="22"/>
              <w:lang w:eastAsia="en-NZ"/>
            </w:rPr>
            <w:tab/>
          </w:r>
          <w:r>
            <w:rPr>
              <w:noProof/>
            </w:rPr>
            <w:t>System reliability</w:t>
          </w:r>
          <w:r>
            <w:rPr>
              <w:noProof/>
            </w:rPr>
            <w:tab/>
          </w:r>
          <w:r>
            <w:rPr>
              <w:noProof/>
            </w:rPr>
            <w:fldChar w:fldCharType="begin"/>
          </w:r>
          <w:r>
            <w:rPr>
              <w:noProof/>
            </w:rPr>
            <w:instrText xml:space="preserve"> PAGEREF _Toc533411200 \h </w:instrText>
          </w:r>
          <w:r>
            <w:rPr>
              <w:noProof/>
            </w:rPr>
          </w:r>
          <w:r>
            <w:rPr>
              <w:noProof/>
            </w:rPr>
            <w:fldChar w:fldCharType="separate"/>
          </w:r>
          <w:r w:rsidR="0034416C">
            <w:rPr>
              <w:noProof/>
            </w:rPr>
            <w:t>27</w:t>
          </w:r>
          <w:r>
            <w:rPr>
              <w:noProof/>
            </w:rPr>
            <w:fldChar w:fldCharType="end"/>
          </w:r>
        </w:p>
        <w:p w14:paraId="459D771D" w14:textId="70D83287" w:rsidR="005A0E9F" w:rsidRDefault="005A0E9F">
          <w:pPr>
            <w:pStyle w:val="TOC2"/>
            <w:rPr>
              <w:rFonts w:asciiTheme="minorHAnsi" w:eastAsiaTheme="minorEastAsia" w:hAnsiTheme="minorHAnsi"/>
              <w:noProof/>
              <w:color w:val="auto"/>
              <w:sz w:val="22"/>
              <w:szCs w:val="22"/>
              <w:lang w:eastAsia="en-NZ"/>
            </w:rPr>
          </w:pPr>
          <w:r>
            <w:rPr>
              <w:noProof/>
            </w:rPr>
            <w:t>4.5</w:t>
          </w:r>
          <w:r>
            <w:rPr>
              <w:rFonts w:asciiTheme="minorHAnsi" w:eastAsiaTheme="minorEastAsia" w:hAnsiTheme="minorHAnsi"/>
              <w:noProof/>
              <w:color w:val="auto"/>
              <w:sz w:val="22"/>
              <w:szCs w:val="22"/>
              <w:lang w:eastAsia="en-NZ"/>
            </w:rPr>
            <w:tab/>
          </w:r>
          <w:r>
            <w:rPr>
              <w:noProof/>
            </w:rPr>
            <w:t>Time of charging</w:t>
          </w:r>
          <w:r>
            <w:rPr>
              <w:noProof/>
            </w:rPr>
            <w:tab/>
          </w:r>
          <w:r>
            <w:rPr>
              <w:noProof/>
            </w:rPr>
            <w:fldChar w:fldCharType="begin"/>
          </w:r>
          <w:r>
            <w:rPr>
              <w:noProof/>
            </w:rPr>
            <w:instrText xml:space="preserve"> PAGEREF _Toc533411201 \h </w:instrText>
          </w:r>
          <w:r>
            <w:rPr>
              <w:noProof/>
            </w:rPr>
          </w:r>
          <w:r>
            <w:rPr>
              <w:noProof/>
            </w:rPr>
            <w:fldChar w:fldCharType="separate"/>
          </w:r>
          <w:r w:rsidR="0034416C">
            <w:rPr>
              <w:noProof/>
            </w:rPr>
            <w:t>30</w:t>
          </w:r>
          <w:r>
            <w:rPr>
              <w:noProof/>
            </w:rPr>
            <w:fldChar w:fldCharType="end"/>
          </w:r>
        </w:p>
        <w:p w14:paraId="44EF69DA" w14:textId="6A90E840" w:rsidR="005A0E9F" w:rsidRDefault="005A0E9F">
          <w:pPr>
            <w:pStyle w:val="TOC1"/>
            <w:rPr>
              <w:rFonts w:asciiTheme="minorHAnsi" w:eastAsiaTheme="minorEastAsia" w:hAnsiTheme="minorHAnsi"/>
              <w:noProof/>
              <w:color w:val="auto"/>
              <w:sz w:val="22"/>
              <w:szCs w:val="22"/>
              <w:lang w:eastAsia="en-NZ"/>
            </w:rPr>
          </w:pPr>
          <w:r w:rsidRPr="006D2C73">
            <w:rPr>
              <w:noProof/>
            </w:rPr>
            <w:t>5.</w:t>
          </w:r>
          <w:r>
            <w:rPr>
              <w:rFonts w:asciiTheme="minorHAnsi" w:eastAsiaTheme="minorEastAsia" w:hAnsiTheme="minorHAnsi"/>
              <w:noProof/>
              <w:color w:val="auto"/>
              <w:sz w:val="22"/>
              <w:szCs w:val="22"/>
              <w:lang w:eastAsia="en-NZ"/>
            </w:rPr>
            <w:tab/>
          </w:r>
          <w:r>
            <w:rPr>
              <w:noProof/>
            </w:rPr>
            <w:t>Underlying causes of the current issues</w:t>
          </w:r>
          <w:r>
            <w:rPr>
              <w:noProof/>
            </w:rPr>
            <w:tab/>
          </w:r>
          <w:r>
            <w:rPr>
              <w:noProof/>
            </w:rPr>
            <w:fldChar w:fldCharType="begin"/>
          </w:r>
          <w:r>
            <w:rPr>
              <w:noProof/>
            </w:rPr>
            <w:instrText xml:space="preserve"> PAGEREF _Toc533411202 \h </w:instrText>
          </w:r>
          <w:r>
            <w:rPr>
              <w:noProof/>
            </w:rPr>
          </w:r>
          <w:r>
            <w:rPr>
              <w:noProof/>
            </w:rPr>
            <w:fldChar w:fldCharType="separate"/>
          </w:r>
          <w:r w:rsidR="0034416C">
            <w:rPr>
              <w:noProof/>
            </w:rPr>
            <w:t>32</w:t>
          </w:r>
          <w:r>
            <w:rPr>
              <w:noProof/>
            </w:rPr>
            <w:fldChar w:fldCharType="end"/>
          </w:r>
        </w:p>
        <w:p w14:paraId="2FBCB3A0" w14:textId="0A2A6991" w:rsidR="005A0E9F" w:rsidRDefault="005A0E9F">
          <w:pPr>
            <w:pStyle w:val="TOC2"/>
            <w:rPr>
              <w:rFonts w:asciiTheme="minorHAnsi" w:eastAsiaTheme="minorEastAsia" w:hAnsiTheme="minorHAnsi"/>
              <w:noProof/>
              <w:color w:val="auto"/>
              <w:sz w:val="22"/>
              <w:szCs w:val="22"/>
              <w:lang w:eastAsia="en-NZ"/>
            </w:rPr>
          </w:pPr>
          <w:r>
            <w:rPr>
              <w:noProof/>
            </w:rPr>
            <w:t>5.1</w:t>
          </w:r>
          <w:r>
            <w:rPr>
              <w:rFonts w:asciiTheme="minorHAnsi" w:eastAsiaTheme="minorEastAsia" w:hAnsiTheme="minorHAnsi"/>
              <w:noProof/>
              <w:color w:val="auto"/>
              <w:sz w:val="22"/>
              <w:szCs w:val="22"/>
              <w:lang w:eastAsia="en-NZ"/>
            </w:rPr>
            <w:tab/>
          </w:r>
          <w:r>
            <w:rPr>
              <w:noProof/>
            </w:rPr>
            <w:t>HUE application</w:t>
          </w:r>
          <w:r>
            <w:rPr>
              <w:noProof/>
            </w:rPr>
            <w:tab/>
          </w:r>
          <w:r>
            <w:rPr>
              <w:noProof/>
            </w:rPr>
            <w:fldChar w:fldCharType="begin"/>
          </w:r>
          <w:r>
            <w:rPr>
              <w:noProof/>
            </w:rPr>
            <w:instrText xml:space="preserve"> PAGEREF _Toc533411203 \h </w:instrText>
          </w:r>
          <w:r>
            <w:rPr>
              <w:noProof/>
            </w:rPr>
          </w:r>
          <w:r>
            <w:rPr>
              <w:noProof/>
            </w:rPr>
            <w:fldChar w:fldCharType="separate"/>
          </w:r>
          <w:r w:rsidR="0034416C">
            <w:rPr>
              <w:noProof/>
            </w:rPr>
            <w:t>32</w:t>
          </w:r>
          <w:r>
            <w:rPr>
              <w:noProof/>
            </w:rPr>
            <w:fldChar w:fldCharType="end"/>
          </w:r>
        </w:p>
        <w:p w14:paraId="7543DC62" w14:textId="37F8CB77" w:rsidR="005A0E9F" w:rsidRDefault="005A0E9F">
          <w:pPr>
            <w:pStyle w:val="TOC2"/>
            <w:rPr>
              <w:rFonts w:asciiTheme="minorHAnsi" w:eastAsiaTheme="minorEastAsia" w:hAnsiTheme="minorHAnsi"/>
              <w:noProof/>
              <w:color w:val="auto"/>
              <w:sz w:val="22"/>
              <w:szCs w:val="22"/>
              <w:lang w:eastAsia="en-NZ"/>
            </w:rPr>
          </w:pPr>
          <w:r>
            <w:rPr>
              <w:noProof/>
            </w:rPr>
            <w:t>5.2</w:t>
          </w:r>
          <w:r>
            <w:rPr>
              <w:rFonts w:asciiTheme="minorHAnsi" w:eastAsiaTheme="minorEastAsia" w:hAnsiTheme="minorHAnsi"/>
              <w:noProof/>
              <w:color w:val="auto"/>
              <w:sz w:val="22"/>
              <w:szCs w:val="22"/>
              <w:lang w:eastAsia="en-NZ"/>
            </w:rPr>
            <w:tab/>
          </w:r>
          <w:r>
            <w:rPr>
              <w:noProof/>
            </w:rPr>
            <w:t>Building records</w:t>
          </w:r>
          <w:r>
            <w:rPr>
              <w:noProof/>
            </w:rPr>
            <w:tab/>
          </w:r>
          <w:r>
            <w:rPr>
              <w:noProof/>
            </w:rPr>
            <w:fldChar w:fldCharType="begin"/>
          </w:r>
          <w:r>
            <w:rPr>
              <w:noProof/>
            </w:rPr>
            <w:instrText xml:space="preserve"> PAGEREF _Toc533411204 \h </w:instrText>
          </w:r>
          <w:r>
            <w:rPr>
              <w:noProof/>
            </w:rPr>
          </w:r>
          <w:r>
            <w:rPr>
              <w:noProof/>
            </w:rPr>
            <w:fldChar w:fldCharType="separate"/>
          </w:r>
          <w:r w:rsidR="0034416C">
            <w:rPr>
              <w:noProof/>
            </w:rPr>
            <w:t>32</w:t>
          </w:r>
          <w:r>
            <w:rPr>
              <w:noProof/>
            </w:rPr>
            <w:fldChar w:fldCharType="end"/>
          </w:r>
        </w:p>
        <w:p w14:paraId="476AA4F2" w14:textId="18121DF7" w:rsidR="005A0E9F" w:rsidRDefault="005A0E9F">
          <w:pPr>
            <w:pStyle w:val="TOC2"/>
            <w:rPr>
              <w:rFonts w:asciiTheme="minorHAnsi" w:eastAsiaTheme="minorEastAsia" w:hAnsiTheme="minorHAnsi"/>
              <w:noProof/>
              <w:color w:val="auto"/>
              <w:sz w:val="22"/>
              <w:szCs w:val="22"/>
              <w:lang w:eastAsia="en-NZ"/>
            </w:rPr>
          </w:pPr>
          <w:r>
            <w:rPr>
              <w:noProof/>
            </w:rPr>
            <w:t>5.3</w:t>
          </w:r>
          <w:r>
            <w:rPr>
              <w:rFonts w:asciiTheme="minorHAnsi" w:eastAsiaTheme="minorEastAsia" w:hAnsiTheme="minorHAnsi"/>
              <w:noProof/>
              <w:color w:val="auto"/>
              <w:sz w:val="22"/>
              <w:szCs w:val="22"/>
              <w:lang w:eastAsia="en-NZ"/>
            </w:rPr>
            <w:tab/>
          </w:r>
          <w:r>
            <w:rPr>
              <w:noProof/>
            </w:rPr>
            <w:t>Communications within councils</w:t>
          </w:r>
          <w:r>
            <w:rPr>
              <w:noProof/>
            </w:rPr>
            <w:tab/>
          </w:r>
          <w:r>
            <w:rPr>
              <w:noProof/>
            </w:rPr>
            <w:fldChar w:fldCharType="begin"/>
          </w:r>
          <w:r>
            <w:rPr>
              <w:noProof/>
            </w:rPr>
            <w:instrText xml:space="preserve"> PAGEREF _Toc533411205 \h </w:instrText>
          </w:r>
          <w:r>
            <w:rPr>
              <w:noProof/>
            </w:rPr>
          </w:r>
          <w:r>
            <w:rPr>
              <w:noProof/>
            </w:rPr>
            <w:fldChar w:fldCharType="separate"/>
          </w:r>
          <w:r w:rsidR="0034416C">
            <w:rPr>
              <w:noProof/>
            </w:rPr>
            <w:t>33</w:t>
          </w:r>
          <w:r>
            <w:rPr>
              <w:noProof/>
            </w:rPr>
            <w:fldChar w:fldCharType="end"/>
          </w:r>
        </w:p>
        <w:p w14:paraId="6146AFCE" w14:textId="46885C12" w:rsidR="005A0E9F" w:rsidRDefault="005A0E9F">
          <w:pPr>
            <w:pStyle w:val="TOC2"/>
            <w:rPr>
              <w:rFonts w:asciiTheme="minorHAnsi" w:eastAsiaTheme="minorEastAsia" w:hAnsiTheme="minorHAnsi"/>
              <w:noProof/>
              <w:color w:val="auto"/>
              <w:sz w:val="22"/>
              <w:szCs w:val="22"/>
              <w:lang w:eastAsia="en-NZ"/>
            </w:rPr>
          </w:pPr>
          <w:r>
            <w:rPr>
              <w:noProof/>
            </w:rPr>
            <w:t>5.4</w:t>
          </w:r>
          <w:r>
            <w:rPr>
              <w:rFonts w:asciiTheme="minorHAnsi" w:eastAsiaTheme="minorEastAsia" w:hAnsiTheme="minorHAnsi"/>
              <w:noProof/>
              <w:color w:val="auto"/>
              <w:sz w:val="22"/>
              <w:szCs w:val="22"/>
              <w:lang w:eastAsia="en-NZ"/>
            </w:rPr>
            <w:tab/>
          </w:r>
          <w:r>
            <w:rPr>
              <w:noProof/>
            </w:rPr>
            <w:t>System complexity</w:t>
          </w:r>
          <w:r>
            <w:rPr>
              <w:noProof/>
            </w:rPr>
            <w:tab/>
          </w:r>
          <w:r>
            <w:rPr>
              <w:noProof/>
            </w:rPr>
            <w:fldChar w:fldCharType="begin"/>
          </w:r>
          <w:r>
            <w:rPr>
              <w:noProof/>
            </w:rPr>
            <w:instrText xml:space="preserve"> PAGEREF _Toc533411206 \h </w:instrText>
          </w:r>
          <w:r>
            <w:rPr>
              <w:noProof/>
            </w:rPr>
          </w:r>
          <w:r>
            <w:rPr>
              <w:noProof/>
            </w:rPr>
            <w:fldChar w:fldCharType="separate"/>
          </w:r>
          <w:r w:rsidR="0034416C">
            <w:rPr>
              <w:noProof/>
            </w:rPr>
            <w:t>33</w:t>
          </w:r>
          <w:r>
            <w:rPr>
              <w:noProof/>
            </w:rPr>
            <w:fldChar w:fldCharType="end"/>
          </w:r>
        </w:p>
        <w:p w14:paraId="6FD34E25" w14:textId="71377F61" w:rsidR="005A0E9F" w:rsidRDefault="005A0E9F">
          <w:pPr>
            <w:pStyle w:val="TOC2"/>
            <w:rPr>
              <w:rFonts w:asciiTheme="minorHAnsi" w:eastAsiaTheme="minorEastAsia" w:hAnsiTheme="minorHAnsi"/>
              <w:noProof/>
              <w:color w:val="auto"/>
              <w:sz w:val="22"/>
              <w:szCs w:val="22"/>
              <w:lang w:eastAsia="en-NZ"/>
            </w:rPr>
          </w:pPr>
          <w:r>
            <w:rPr>
              <w:noProof/>
            </w:rPr>
            <w:t>5.5</w:t>
          </w:r>
          <w:r>
            <w:rPr>
              <w:rFonts w:asciiTheme="minorHAnsi" w:eastAsiaTheme="minorEastAsia" w:hAnsiTheme="minorHAnsi"/>
              <w:noProof/>
              <w:color w:val="auto"/>
              <w:sz w:val="22"/>
              <w:szCs w:val="22"/>
              <w:lang w:eastAsia="en-NZ"/>
            </w:rPr>
            <w:tab/>
          </w:r>
          <w:r>
            <w:rPr>
              <w:noProof/>
            </w:rPr>
            <w:t>Council’s resources</w:t>
          </w:r>
          <w:r>
            <w:rPr>
              <w:noProof/>
            </w:rPr>
            <w:tab/>
          </w:r>
          <w:r>
            <w:rPr>
              <w:noProof/>
            </w:rPr>
            <w:fldChar w:fldCharType="begin"/>
          </w:r>
          <w:r>
            <w:rPr>
              <w:noProof/>
            </w:rPr>
            <w:instrText xml:space="preserve"> PAGEREF _Toc533411207 \h </w:instrText>
          </w:r>
          <w:r>
            <w:rPr>
              <w:noProof/>
            </w:rPr>
          </w:r>
          <w:r>
            <w:rPr>
              <w:noProof/>
            </w:rPr>
            <w:fldChar w:fldCharType="separate"/>
          </w:r>
          <w:r w:rsidR="0034416C">
            <w:rPr>
              <w:noProof/>
            </w:rPr>
            <w:t>33</w:t>
          </w:r>
          <w:r>
            <w:rPr>
              <w:noProof/>
            </w:rPr>
            <w:fldChar w:fldCharType="end"/>
          </w:r>
        </w:p>
        <w:p w14:paraId="1869D941" w14:textId="27770C0F" w:rsidR="005A0E9F" w:rsidRDefault="005A0E9F">
          <w:pPr>
            <w:pStyle w:val="TOC2"/>
            <w:rPr>
              <w:rFonts w:asciiTheme="minorHAnsi" w:eastAsiaTheme="minorEastAsia" w:hAnsiTheme="minorHAnsi"/>
              <w:noProof/>
              <w:color w:val="auto"/>
              <w:sz w:val="22"/>
              <w:szCs w:val="22"/>
              <w:lang w:eastAsia="en-NZ"/>
            </w:rPr>
          </w:pPr>
          <w:r>
            <w:rPr>
              <w:noProof/>
            </w:rPr>
            <w:t>5.6</w:t>
          </w:r>
          <w:r>
            <w:rPr>
              <w:rFonts w:asciiTheme="minorHAnsi" w:eastAsiaTheme="minorEastAsia" w:hAnsiTheme="minorHAnsi"/>
              <w:noProof/>
              <w:color w:val="auto"/>
              <w:sz w:val="22"/>
              <w:szCs w:val="22"/>
              <w:lang w:eastAsia="en-NZ"/>
            </w:rPr>
            <w:tab/>
          </w:r>
          <w:r>
            <w:rPr>
              <w:noProof/>
            </w:rPr>
            <w:t>Lack of unification of DC charges</w:t>
          </w:r>
          <w:r>
            <w:rPr>
              <w:noProof/>
            </w:rPr>
            <w:tab/>
          </w:r>
          <w:r>
            <w:rPr>
              <w:noProof/>
            </w:rPr>
            <w:fldChar w:fldCharType="begin"/>
          </w:r>
          <w:r>
            <w:rPr>
              <w:noProof/>
            </w:rPr>
            <w:instrText xml:space="preserve"> PAGEREF _Toc533411208 \h </w:instrText>
          </w:r>
          <w:r>
            <w:rPr>
              <w:noProof/>
            </w:rPr>
          </w:r>
          <w:r>
            <w:rPr>
              <w:noProof/>
            </w:rPr>
            <w:fldChar w:fldCharType="separate"/>
          </w:r>
          <w:r w:rsidR="0034416C">
            <w:rPr>
              <w:noProof/>
            </w:rPr>
            <w:t>33</w:t>
          </w:r>
          <w:r>
            <w:rPr>
              <w:noProof/>
            </w:rPr>
            <w:fldChar w:fldCharType="end"/>
          </w:r>
        </w:p>
        <w:p w14:paraId="2FC0572D" w14:textId="00BE33A5" w:rsidR="005A0E9F" w:rsidRDefault="005A0E9F">
          <w:pPr>
            <w:pStyle w:val="TOC2"/>
            <w:rPr>
              <w:rFonts w:asciiTheme="minorHAnsi" w:eastAsiaTheme="minorEastAsia" w:hAnsiTheme="minorHAnsi"/>
              <w:noProof/>
              <w:color w:val="auto"/>
              <w:sz w:val="22"/>
              <w:szCs w:val="22"/>
              <w:lang w:eastAsia="en-NZ"/>
            </w:rPr>
          </w:pPr>
          <w:r>
            <w:rPr>
              <w:noProof/>
            </w:rPr>
            <w:t>5.7</w:t>
          </w:r>
          <w:r>
            <w:rPr>
              <w:rFonts w:asciiTheme="minorHAnsi" w:eastAsiaTheme="minorEastAsia" w:hAnsiTheme="minorHAnsi"/>
              <w:noProof/>
              <w:color w:val="auto"/>
              <w:sz w:val="22"/>
              <w:szCs w:val="22"/>
              <w:lang w:eastAsia="en-NZ"/>
            </w:rPr>
            <w:tab/>
          </w:r>
          <w:r>
            <w:rPr>
              <w:noProof/>
            </w:rPr>
            <w:t>Political pressures</w:t>
          </w:r>
          <w:r>
            <w:rPr>
              <w:noProof/>
            </w:rPr>
            <w:tab/>
          </w:r>
          <w:r>
            <w:rPr>
              <w:noProof/>
            </w:rPr>
            <w:fldChar w:fldCharType="begin"/>
          </w:r>
          <w:r>
            <w:rPr>
              <w:noProof/>
            </w:rPr>
            <w:instrText xml:space="preserve"> PAGEREF _Toc533411209 \h </w:instrText>
          </w:r>
          <w:r>
            <w:rPr>
              <w:noProof/>
            </w:rPr>
          </w:r>
          <w:r>
            <w:rPr>
              <w:noProof/>
            </w:rPr>
            <w:fldChar w:fldCharType="separate"/>
          </w:r>
          <w:r w:rsidR="0034416C">
            <w:rPr>
              <w:noProof/>
            </w:rPr>
            <w:t>34</w:t>
          </w:r>
          <w:r>
            <w:rPr>
              <w:noProof/>
            </w:rPr>
            <w:fldChar w:fldCharType="end"/>
          </w:r>
        </w:p>
        <w:p w14:paraId="00DD148C" w14:textId="15FCE63C" w:rsidR="005A0E9F" w:rsidRDefault="005A0E9F">
          <w:pPr>
            <w:pStyle w:val="TOC1"/>
            <w:rPr>
              <w:rFonts w:asciiTheme="minorHAnsi" w:eastAsiaTheme="minorEastAsia" w:hAnsiTheme="minorHAnsi"/>
              <w:noProof/>
              <w:color w:val="auto"/>
              <w:sz w:val="22"/>
              <w:szCs w:val="22"/>
              <w:lang w:eastAsia="en-NZ"/>
            </w:rPr>
          </w:pPr>
          <w:r w:rsidRPr="006D2C73">
            <w:rPr>
              <w:noProof/>
            </w:rPr>
            <w:t>6.</w:t>
          </w:r>
          <w:r>
            <w:rPr>
              <w:rFonts w:asciiTheme="minorHAnsi" w:eastAsiaTheme="minorEastAsia" w:hAnsiTheme="minorHAnsi"/>
              <w:noProof/>
              <w:color w:val="auto"/>
              <w:sz w:val="22"/>
              <w:szCs w:val="22"/>
              <w:lang w:eastAsia="en-NZ"/>
            </w:rPr>
            <w:tab/>
          </w:r>
          <w:r>
            <w:rPr>
              <w:noProof/>
            </w:rPr>
            <w:t>Conclusions and recommendations</w:t>
          </w:r>
          <w:r>
            <w:rPr>
              <w:noProof/>
            </w:rPr>
            <w:tab/>
          </w:r>
          <w:r>
            <w:rPr>
              <w:noProof/>
            </w:rPr>
            <w:fldChar w:fldCharType="begin"/>
          </w:r>
          <w:r>
            <w:rPr>
              <w:noProof/>
            </w:rPr>
            <w:instrText xml:space="preserve"> PAGEREF _Toc533411210 \h </w:instrText>
          </w:r>
          <w:r>
            <w:rPr>
              <w:noProof/>
            </w:rPr>
          </w:r>
          <w:r>
            <w:rPr>
              <w:noProof/>
            </w:rPr>
            <w:fldChar w:fldCharType="separate"/>
          </w:r>
          <w:r w:rsidR="0034416C">
            <w:rPr>
              <w:noProof/>
            </w:rPr>
            <w:t>35</w:t>
          </w:r>
          <w:r>
            <w:rPr>
              <w:noProof/>
            </w:rPr>
            <w:fldChar w:fldCharType="end"/>
          </w:r>
        </w:p>
        <w:p w14:paraId="6926C4A4" w14:textId="06F75070" w:rsidR="00635328" w:rsidRPr="008C75D3" w:rsidRDefault="00560EEC" w:rsidP="00463A14">
          <w:r w:rsidRPr="008C75D3">
            <w:rPr>
              <w:b/>
              <w:bCs/>
              <w:color w:val="243A7E"/>
            </w:rPr>
            <w:fldChar w:fldCharType="end"/>
          </w:r>
        </w:p>
      </w:sdtContent>
    </w:sdt>
    <w:p w14:paraId="630A205A" w14:textId="77777777" w:rsidR="005A0E9F" w:rsidRDefault="00230BDF" w:rsidP="000B1630">
      <w:pPr>
        <w:pStyle w:val="TOCHeading"/>
        <w:spacing w:after="320"/>
      </w:pPr>
      <w:r w:rsidRPr="000B1630">
        <w:rPr>
          <w:rFonts w:ascii="Open Sans" w:hAnsi="Open Sans" w:cs="Open Sans"/>
          <w:color w:val="36497F"/>
          <w:lang w:eastAsia="ja-JP"/>
        </w:rPr>
        <w:lastRenderedPageBreak/>
        <w:t>List of tables</w:t>
      </w:r>
      <w:r w:rsidRPr="008C75D3">
        <w:rPr>
          <w:rFonts w:ascii="Open Sans" w:hAnsi="Open Sans" w:cs="Open Sans"/>
        </w:rPr>
        <w:fldChar w:fldCharType="begin"/>
      </w:r>
      <w:r w:rsidRPr="000B1630">
        <w:rPr>
          <w:rFonts w:ascii="Open Sans" w:hAnsi="Open Sans" w:cs="Open Sans"/>
        </w:rPr>
        <w:instrText xml:space="preserve"> TOC \c "Table" </w:instrText>
      </w:r>
      <w:r w:rsidRPr="008C75D3">
        <w:rPr>
          <w:rFonts w:ascii="Open Sans" w:hAnsi="Open Sans" w:cs="Open Sans"/>
        </w:rPr>
        <w:fldChar w:fldCharType="separate"/>
      </w:r>
    </w:p>
    <w:p w14:paraId="16881ABA" w14:textId="19572CD6" w:rsidR="005A0E9F" w:rsidRDefault="005A0E9F">
      <w:pPr>
        <w:pStyle w:val="TableofFigures"/>
        <w:rPr>
          <w:rFonts w:asciiTheme="minorHAnsi" w:eastAsiaTheme="minorEastAsia" w:hAnsiTheme="minorHAnsi"/>
          <w:color w:val="auto"/>
          <w:sz w:val="22"/>
          <w:szCs w:val="22"/>
          <w:lang w:eastAsia="en-NZ"/>
        </w:rPr>
      </w:pPr>
      <w:r>
        <w:t>Table 1: DC and FC income alongside total local council operating income since 2003</w:t>
      </w:r>
      <w:r>
        <w:tab/>
      </w:r>
      <w:r>
        <w:fldChar w:fldCharType="begin"/>
      </w:r>
      <w:r>
        <w:instrText xml:space="preserve"> PAGEREF _Toc533411211 \h </w:instrText>
      </w:r>
      <w:r>
        <w:fldChar w:fldCharType="separate"/>
      </w:r>
      <w:r w:rsidR="0034416C">
        <w:t>12</w:t>
      </w:r>
      <w:r>
        <w:fldChar w:fldCharType="end"/>
      </w:r>
    </w:p>
    <w:p w14:paraId="7E7618F9" w14:textId="358FA6FD" w:rsidR="005A0E9F" w:rsidRDefault="005A0E9F">
      <w:pPr>
        <w:pStyle w:val="TableofFigures"/>
        <w:rPr>
          <w:rFonts w:asciiTheme="minorHAnsi" w:eastAsiaTheme="minorEastAsia" w:hAnsiTheme="minorHAnsi"/>
          <w:color w:val="auto"/>
          <w:sz w:val="22"/>
          <w:szCs w:val="22"/>
          <w:lang w:eastAsia="en-NZ"/>
        </w:rPr>
      </w:pPr>
      <w:r>
        <w:t>Table 2: Income growth rates over 14, 6 and 3 year periods</w:t>
      </w:r>
      <w:r>
        <w:tab/>
      </w:r>
      <w:r>
        <w:fldChar w:fldCharType="begin"/>
      </w:r>
      <w:r>
        <w:instrText xml:space="preserve"> PAGEREF _Toc533411212 \h </w:instrText>
      </w:r>
      <w:r>
        <w:fldChar w:fldCharType="separate"/>
      </w:r>
      <w:r w:rsidR="0034416C">
        <w:t>12</w:t>
      </w:r>
      <w:r>
        <w:fldChar w:fldCharType="end"/>
      </w:r>
    </w:p>
    <w:p w14:paraId="13A90CA2" w14:textId="7AE0E48C" w:rsidR="005A0E9F" w:rsidRDefault="005A0E9F">
      <w:pPr>
        <w:pStyle w:val="TableofFigures"/>
        <w:rPr>
          <w:rFonts w:asciiTheme="minorHAnsi" w:eastAsiaTheme="minorEastAsia" w:hAnsiTheme="minorHAnsi"/>
          <w:color w:val="auto"/>
          <w:sz w:val="22"/>
          <w:szCs w:val="22"/>
          <w:lang w:eastAsia="en-NZ"/>
        </w:rPr>
      </w:pPr>
      <w:r>
        <w:t>Table 3: Actual and projected contributions as a % of total local council income</w:t>
      </w:r>
      <w:r>
        <w:tab/>
      </w:r>
      <w:r>
        <w:fldChar w:fldCharType="begin"/>
      </w:r>
      <w:r>
        <w:instrText xml:space="preserve"> PAGEREF _Toc533411213 \h </w:instrText>
      </w:r>
      <w:r>
        <w:fldChar w:fldCharType="separate"/>
      </w:r>
      <w:r w:rsidR="0034416C">
        <w:t>13</w:t>
      </w:r>
      <w:r>
        <w:fldChar w:fldCharType="end"/>
      </w:r>
    </w:p>
    <w:p w14:paraId="57566636" w14:textId="211D4426" w:rsidR="005A0E9F" w:rsidRDefault="005A0E9F">
      <w:pPr>
        <w:pStyle w:val="TableofFigures"/>
        <w:rPr>
          <w:rFonts w:asciiTheme="minorHAnsi" w:eastAsiaTheme="minorEastAsia" w:hAnsiTheme="minorHAnsi"/>
          <w:color w:val="auto"/>
          <w:sz w:val="22"/>
          <w:szCs w:val="22"/>
          <w:lang w:eastAsia="en-NZ"/>
        </w:rPr>
      </w:pPr>
      <w:r>
        <w:t>Table 4: DC Assessment for Frankton PAK’nSAVE, 2016</w:t>
      </w:r>
      <w:r>
        <w:tab/>
      </w:r>
      <w:r>
        <w:fldChar w:fldCharType="begin"/>
      </w:r>
      <w:r>
        <w:instrText xml:space="preserve"> PAGEREF _Toc533411214 \h </w:instrText>
      </w:r>
      <w:r>
        <w:fldChar w:fldCharType="separate"/>
      </w:r>
      <w:r w:rsidR="0034416C">
        <w:t>16</w:t>
      </w:r>
      <w:r>
        <w:fldChar w:fldCharType="end"/>
      </w:r>
    </w:p>
    <w:p w14:paraId="60DB048F" w14:textId="053497E1" w:rsidR="007345E6" w:rsidRDefault="00230BDF" w:rsidP="000B1630">
      <w:r w:rsidRPr="008C75D3">
        <w:fldChar w:fldCharType="end"/>
      </w:r>
    </w:p>
    <w:p w14:paraId="4DB358A5" w14:textId="1D6698BA" w:rsidR="00D94124" w:rsidRPr="00D94124" w:rsidRDefault="00D94124" w:rsidP="000B1630">
      <w:pPr>
        <w:rPr>
          <w:b/>
          <w:color w:val="183F7C"/>
          <w:sz w:val="32"/>
          <w:szCs w:val="32"/>
        </w:rPr>
      </w:pPr>
      <w:r w:rsidRPr="00D94124">
        <w:rPr>
          <w:b/>
          <w:color w:val="183F7C"/>
          <w:sz w:val="32"/>
          <w:szCs w:val="32"/>
        </w:rPr>
        <w:t>List of figures</w:t>
      </w:r>
      <w:r w:rsidR="007C1B2C">
        <w:rPr>
          <w:b/>
          <w:color w:val="183F7C"/>
          <w:sz w:val="32"/>
          <w:szCs w:val="32"/>
        </w:rPr>
        <w:t xml:space="preserve"> </w:t>
      </w:r>
    </w:p>
    <w:p w14:paraId="073C089B" w14:textId="071D20DA" w:rsidR="005A0E9F" w:rsidRDefault="00D94124">
      <w:pPr>
        <w:pStyle w:val="TableofFigures"/>
        <w:rPr>
          <w:rFonts w:asciiTheme="minorHAnsi" w:eastAsiaTheme="minorEastAsia" w:hAnsiTheme="minorHAnsi"/>
          <w:color w:val="auto"/>
          <w:sz w:val="22"/>
          <w:szCs w:val="22"/>
          <w:lang w:eastAsia="en-NZ"/>
        </w:rPr>
      </w:pPr>
      <w:r>
        <w:rPr>
          <w:lang w:eastAsia="ja-JP"/>
        </w:rPr>
        <w:fldChar w:fldCharType="begin"/>
      </w:r>
      <w:r>
        <w:rPr>
          <w:lang w:eastAsia="ja-JP"/>
        </w:rPr>
        <w:instrText xml:space="preserve"> TOC \h \z \c "Figure" </w:instrText>
      </w:r>
      <w:r>
        <w:rPr>
          <w:lang w:eastAsia="ja-JP"/>
        </w:rPr>
        <w:fldChar w:fldCharType="separate"/>
      </w:r>
      <w:hyperlink w:anchor="_Toc533411215" w:history="1">
        <w:r w:rsidR="005A0E9F" w:rsidRPr="00975829">
          <w:rPr>
            <w:rStyle w:val="Hyperlink"/>
          </w:rPr>
          <w:t>Figure 1: Total local council development and financial contributions from 2013</w:t>
        </w:r>
        <w:r w:rsidR="005A0E9F">
          <w:rPr>
            <w:webHidden/>
          </w:rPr>
          <w:tab/>
        </w:r>
        <w:r w:rsidR="005A0E9F">
          <w:rPr>
            <w:webHidden/>
          </w:rPr>
          <w:fldChar w:fldCharType="begin"/>
        </w:r>
        <w:r w:rsidR="005A0E9F">
          <w:rPr>
            <w:webHidden/>
          </w:rPr>
          <w:instrText xml:space="preserve"> PAGEREF _Toc533411215 \h </w:instrText>
        </w:r>
        <w:r w:rsidR="005A0E9F">
          <w:rPr>
            <w:webHidden/>
          </w:rPr>
        </w:r>
        <w:r w:rsidR="005A0E9F">
          <w:rPr>
            <w:webHidden/>
          </w:rPr>
          <w:fldChar w:fldCharType="separate"/>
        </w:r>
        <w:r w:rsidR="0034416C">
          <w:rPr>
            <w:webHidden/>
          </w:rPr>
          <w:t>11</w:t>
        </w:r>
        <w:r w:rsidR="005A0E9F">
          <w:rPr>
            <w:webHidden/>
          </w:rPr>
          <w:fldChar w:fldCharType="end"/>
        </w:r>
      </w:hyperlink>
    </w:p>
    <w:p w14:paraId="2522CBBF" w14:textId="2DDD151B" w:rsidR="005A0E9F" w:rsidRDefault="00152B58">
      <w:pPr>
        <w:pStyle w:val="TableofFigures"/>
        <w:rPr>
          <w:rFonts w:asciiTheme="minorHAnsi" w:eastAsiaTheme="minorEastAsia" w:hAnsiTheme="minorHAnsi"/>
          <w:color w:val="auto"/>
          <w:sz w:val="22"/>
          <w:szCs w:val="22"/>
          <w:lang w:eastAsia="en-NZ"/>
        </w:rPr>
      </w:pPr>
      <w:hyperlink w:anchor="_Toc533411216" w:history="1">
        <w:r w:rsidR="005A0E9F" w:rsidRPr="00975829">
          <w:rPr>
            <w:rStyle w:val="Hyperlink"/>
          </w:rPr>
          <w:t>Figure 2: Extract from 2018 draft DC policy Schedule 2</w:t>
        </w:r>
        <w:r w:rsidR="005A0E9F">
          <w:rPr>
            <w:webHidden/>
          </w:rPr>
          <w:tab/>
        </w:r>
        <w:r w:rsidR="005A0E9F">
          <w:rPr>
            <w:webHidden/>
          </w:rPr>
          <w:fldChar w:fldCharType="begin"/>
        </w:r>
        <w:r w:rsidR="005A0E9F">
          <w:rPr>
            <w:webHidden/>
          </w:rPr>
          <w:instrText xml:space="preserve"> PAGEREF _Toc533411216 \h </w:instrText>
        </w:r>
        <w:r w:rsidR="005A0E9F">
          <w:rPr>
            <w:webHidden/>
          </w:rPr>
        </w:r>
        <w:r w:rsidR="005A0E9F">
          <w:rPr>
            <w:webHidden/>
          </w:rPr>
          <w:fldChar w:fldCharType="separate"/>
        </w:r>
        <w:r w:rsidR="0034416C">
          <w:rPr>
            <w:webHidden/>
          </w:rPr>
          <w:t>22</w:t>
        </w:r>
        <w:r w:rsidR="005A0E9F">
          <w:rPr>
            <w:webHidden/>
          </w:rPr>
          <w:fldChar w:fldCharType="end"/>
        </w:r>
      </w:hyperlink>
    </w:p>
    <w:p w14:paraId="42EF2305" w14:textId="554F8327" w:rsidR="005A0E9F" w:rsidRDefault="00152B58">
      <w:pPr>
        <w:pStyle w:val="TableofFigures"/>
        <w:rPr>
          <w:rFonts w:asciiTheme="minorHAnsi" w:eastAsiaTheme="minorEastAsia" w:hAnsiTheme="minorHAnsi"/>
          <w:color w:val="auto"/>
          <w:sz w:val="22"/>
          <w:szCs w:val="22"/>
          <w:lang w:eastAsia="en-NZ"/>
        </w:rPr>
      </w:pPr>
      <w:hyperlink w:anchor="_Toc533411217" w:history="1">
        <w:r w:rsidR="005A0E9F" w:rsidRPr="00975829">
          <w:rPr>
            <w:rStyle w:val="Hyperlink"/>
          </w:rPr>
          <w:t>Figure 3: Extract from 2019 draft DC policy Schedule 2</w:t>
        </w:r>
        <w:r w:rsidR="005A0E9F">
          <w:rPr>
            <w:webHidden/>
          </w:rPr>
          <w:tab/>
        </w:r>
        <w:r w:rsidR="005A0E9F">
          <w:rPr>
            <w:webHidden/>
          </w:rPr>
          <w:fldChar w:fldCharType="begin"/>
        </w:r>
        <w:r w:rsidR="005A0E9F">
          <w:rPr>
            <w:webHidden/>
          </w:rPr>
          <w:instrText xml:space="preserve"> PAGEREF _Toc533411217 \h </w:instrText>
        </w:r>
        <w:r w:rsidR="005A0E9F">
          <w:rPr>
            <w:webHidden/>
          </w:rPr>
        </w:r>
        <w:r w:rsidR="005A0E9F">
          <w:rPr>
            <w:webHidden/>
          </w:rPr>
          <w:fldChar w:fldCharType="separate"/>
        </w:r>
        <w:r w:rsidR="0034416C">
          <w:rPr>
            <w:webHidden/>
          </w:rPr>
          <w:t>22</w:t>
        </w:r>
        <w:r w:rsidR="005A0E9F">
          <w:rPr>
            <w:webHidden/>
          </w:rPr>
          <w:fldChar w:fldCharType="end"/>
        </w:r>
      </w:hyperlink>
    </w:p>
    <w:p w14:paraId="6B1F5F57" w14:textId="249955B1" w:rsidR="005A0E9F" w:rsidRDefault="00152B58">
      <w:pPr>
        <w:pStyle w:val="TableofFigures"/>
        <w:rPr>
          <w:rFonts w:asciiTheme="minorHAnsi" w:eastAsiaTheme="minorEastAsia" w:hAnsiTheme="minorHAnsi"/>
          <w:color w:val="auto"/>
          <w:sz w:val="22"/>
          <w:szCs w:val="22"/>
          <w:lang w:eastAsia="en-NZ"/>
        </w:rPr>
      </w:pPr>
      <w:hyperlink w:anchor="_Toc533411218" w:history="1">
        <w:r w:rsidR="005A0E9F" w:rsidRPr="00975829">
          <w:rPr>
            <w:rStyle w:val="Hyperlink"/>
          </w:rPr>
          <w:t>Figure 4: Consultation timeline for QLDC DC policy amendment</w:t>
        </w:r>
        <w:r w:rsidR="005A0E9F">
          <w:rPr>
            <w:webHidden/>
          </w:rPr>
          <w:tab/>
        </w:r>
        <w:r w:rsidR="005A0E9F">
          <w:rPr>
            <w:webHidden/>
          </w:rPr>
          <w:fldChar w:fldCharType="begin"/>
        </w:r>
        <w:r w:rsidR="005A0E9F">
          <w:rPr>
            <w:webHidden/>
          </w:rPr>
          <w:instrText xml:space="preserve"> PAGEREF _Toc533411218 \h </w:instrText>
        </w:r>
        <w:r w:rsidR="005A0E9F">
          <w:rPr>
            <w:webHidden/>
          </w:rPr>
        </w:r>
        <w:r w:rsidR="005A0E9F">
          <w:rPr>
            <w:webHidden/>
          </w:rPr>
          <w:fldChar w:fldCharType="separate"/>
        </w:r>
        <w:r w:rsidR="0034416C">
          <w:rPr>
            <w:webHidden/>
          </w:rPr>
          <w:t>23</w:t>
        </w:r>
        <w:r w:rsidR="005A0E9F">
          <w:rPr>
            <w:webHidden/>
          </w:rPr>
          <w:fldChar w:fldCharType="end"/>
        </w:r>
      </w:hyperlink>
    </w:p>
    <w:p w14:paraId="2D99755B" w14:textId="297A6E22" w:rsidR="005A0E9F" w:rsidRDefault="00152B58">
      <w:pPr>
        <w:pStyle w:val="TableofFigures"/>
        <w:rPr>
          <w:rFonts w:asciiTheme="minorHAnsi" w:eastAsiaTheme="minorEastAsia" w:hAnsiTheme="minorHAnsi"/>
          <w:color w:val="auto"/>
          <w:sz w:val="22"/>
          <w:szCs w:val="22"/>
          <w:lang w:eastAsia="en-NZ"/>
        </w:rPr>
      </w:pPr>
      <w:hyperlink w:anchor="_Toc533411219" w:history="1">
        <w:r w:rsidR="005A0E9F" w:rsidRPr="00975829">
          <w:rPr>
            <w:rStyle w:val="Hyperlink"/>
          </w:rPr>
          <w:t>Figure 5: DC Assessment example from Christchurch City Council</w:t>
        </w:r>
        <w:r w:rsidR="005A0E9F">
          <w:rPr>
            <w:webHidden/>
          </w:rPr>
          <w:tab/>
        </w:r>
        <w:r w:rsidR="005A0E9F">
          <w:rPr>
            <w:webHidden/>
          </w:rPr>
          <w:fldChar w:fldCharType="begin"/>
        </w:r>
        <w:r w:rsidR="005A0E9F">
          <w:rPr>
            <w:webHidden/>
          </w:rPr>
          <w:instrText xml:space="preserve"> PAGEREF _Toc533411219 \h </w:instrText>
        </w:r>
        <w:r w:rsidR="005A0E9F">
          <w:rPr>
            <w:webHidden/>
          </w:rPr>
        </w:r>
        <w:r w:rsidR="005A0E9F">
          <w:rPr>
            <w:webHidden/>
          </w:rPr>
          <w:fldChar w:fldCharType="separate"/>
        </w:r>
        <w:r w:rsidR="0034416C">
          <w:rPr>
            <w:webHidden/>
          </w:rPr>
          <w:t>25</w:t>
        </w:r>
        <w:r w:rsidR="005A0E9F">
          <w:rPr>
            <w:webHidden/>
          </w:rPr>
          <w:fldChar w:fldCharType="end"/>
        </w:r>
      </w:hyperlink>
    </w:p>
    <w:p w14:paraId="7337FB7F" w14:textId="204BB7F1" w:rsidR="005A0E9F" w:rsidRDefault="00152B58">
      <w:pPr>
        <w:pStyle w:val="TableofFigures"/>
        <w:rPr>
          <w:rFonts w:asciiTheme="minorHAnsi" w:eastAsiaTheme="minorEastAsia" w:hAnsiTheme="minorHAnsi"/>
          <w:color w:val="auto"/>
          <w:sz w:val="22"/>
          <w:szCs w:val="22"/>
          <w:lang w:eastAsia="en-NZ"/>
        </w:rPr>
      </w:pPr>
      <w:hyperlink w:anchor="_Toc533411220" w:history="1">
        <w:r w:rsidR="005A0E9F" w:rsidRPr="00975829">
          <w:rPr>
            <w:rStyle w:val="Hyperlink"/>
          </w:rPr>
          <w:t>Figure 6: Assessment example from Selwyn District Council</w:t>
        </w:r>
        <w:r w:rsidR="005A0E9F">
          <w:rPr>
            <w:webHidden/>
          </w:rPr>
          <w:tab/>
        </w:r>
        <w:r w:rsidR="005A0E9F">
          <w:rPr>
            <w:webHidden/>
          </w:rPr>
          <w:fldChar w:fldCharType="begin"/>
        </w:r>
        <w:r w:rsidR="005A0E9F">
          <w:rPr>
            <w:webHidden/>
          </w:rPr>
          <w:instrText xml:space="preserve"> PAGEREF _Toc533411220 \h </w:instrText>
        </w:r>
        <w:r w:rsidR="005A0E9F">
          <w:rPr>
            <w:webHidden/>
          </w:rPr>
        </w:r>
        <w:r w:rsidR="005A0E9F">
          <w:rPr>
            <w:webHidden/>
          </w:rPr>
          <w:fldChar w:fldCharType="separate"/>
        </w:r>
        <w:r w:rsidR="0034416C">
          <w:rPr>
            <w:webHidden/>
          </w:rPr>
          <w:t>26</w:t>
        </w:r>
        <w:r w:rsidR="005A0E9F">
          <w:rPr>
            <w:webHidden/>
          </w:rPr>
          <w:fldChar w:fldCharType="end"/>
        </w:r>
      </w:hyperlink>
    </w:p>
    <w:p w14:paraId="45B8365D" w14:textId="076E626C" w:rsidR="005A0E9F" w:rsidRDefault="00152B58">
      <w:pPr>
        <w:pStyle w:val="TableofFigures"/>
        <w:rPr>
          <w:rFonts w:asciiTheme="minorHAnsi" w:eastAsiaTheme="minorEastAsia" w:hAnsiTheme="minorHAnsi"/>
          <w:color w:val="auto"/>
          <w:sz w:val="22"/>
          <w:szCs w:val="22"/>
          <w:lang w:eastAsia="en-NZ"/>
        </w:rPr>
      </w:pPr>
      <w:hyperlink r:id="rId18" w:anchor="_Toc533411221" w:history="1">
        <w:r w:rsidR="005A0E9F" w:rsidRPr="00975829">
          <w:rPr>
            <w:rStyle w:val="Hyperlink"/>
          </w:rPr>
          <w:t>Figure 7: Original development contributions assessment (extract)</w:t>
        </w:r>
        <w:r w:rsidR="005A0E9F">
          <w:rPr>
            <w:webHidden/>
          </w:rPr>
          <w:tab/>
        </w:r>
        <w:r w:rsidR="005A0E9F">
          <w:rPr>
            <w:webHidden/>
          </w:rPr>
          <w:fldChar w:fldCharType="begin"/>
        </w:r>
        <w:r w:rsidR="005A0E9F">
          <w:rPr>
            <w:webHidden/>
          </w:rPr>
          <w:instrText xml:space="preserve"> PAGEREF _Toc533411221 \h </w:instrText>
        </w:r>
        <w:r w:rsidR="005A0E9F">
          <w:rPr>
            <w:webHidden/>
          </w:rPr>
        </w:r>
        <w:r w:rsidR="005A0E9F">
          <w:rPr>
            <w:webHidden/>
          </w:rPr>
          <w:fldChar w:fldCharType="separate"/>
        </w:r>
        <w:r w:rsidR="0034416C">
          <w:rPr>
            <w:webHidden/>
          </w:rPr>
          <w:t>28</w:t>
        </w:r>
        <w:r w:rsidR="005A0E9F">
          <w:rPr>
            <w:webHidden/>
          </w:rPr>
          <w:fldChar w:fldCharType="end"/>
        </w:r>
      </w:hyperlink>
    </w:p>
    <w:p w14:paraId="470A781C" w14:textId="317ED50C" w:rsidR="005A0E9F" w:rsidRDefault="00152B58">
      <w:pPr>
        <w:pStyle w:val="TableofFigures"/>
        <w:rPr>
          <w:rFonts w:asciiTheme="minorHAnsi" w:eastAsiaTheme="minorEastAsia" w:hAnsiTheme="minorHAnsi"/>
          <w:color w:val="auto"/>
          <w:sz w:val="22"/>
          <w:szCs w:val="22"/>
          <w:lang w:eastAsia="en-NZ"/>
        </w:rPr>
      </w:pPr>
      <w:hyperlink r:id="rId19" w:anchor="_Toc533411222" w:history="1">
        <w:r w:rsidR="005A0E9F" w:rsidRPr="00975829">
          <w:rPr>
            <w:rStyle w:val="Hyperlink"/>
          </w:rPr>
          <w:t>Figure 8: Subsequent development contributions assessment (extract)</w:t>
        </w:r>
        <w:r w:rsidR="005A0E9F">
          <w:rPr>
            <w:webHidden/>
          </w:rPr>
          <w:tab/>
        </w:r>
        <w:r w:rsidR="005A0E9F">
          <w:rPr>
            <w:webHidden/>
          </w:rPr>
          <w:fldChar w:fldCharType="begin"/>
        </w:r>
        <w:r w:rsidR="005A0E9F">
          <w:rPr>
            <w:webHidden/>
          </w:rPr>
          <w:instrText xml:space="preserve"> PAGEREF _Toc533411222 \h </w:instrText>
        </w:r>
        <w:r w:rsidR="005A0E9F">
          <w:rPr>
            <w:webHidden/>
          </w:rPr>
        </w:r>
        <w:r w:rsidR="005A0E9F">
          <w:rPr>
            <w:webHidden/>
          </w:rPr>
          <w:fldChar w:fldCharType="separate"/>
        </w:r>
        <w:r w:rsidR="0034416C">
          <w:rPr>
            <w:webHidden/>
          </w:rPr>
          <w:t>29</w:t>
        </w:r>
        <w:r w:rsidR="005A0E9F">
          <w:rPr>
            <w:webHidden/>
          </w:rPr>
          <w:fldChar w:fldCharType="end"/>
        </w:r>
      </w:hyperlink>
    </w:p>
    <w:p w14:paraId="0908ED2B" w14:textId="27D09049" w:rsidR="00D94124" w:rsidRDefault="00D94124" w:rsidP="000B1630">
      <w:pPr>
        <w:rPr>
          <w:lang w:eastAsia="ja-JP"/>
        </w:rPr>
      </w:pPr>
      <w:r>
        <w:rPr>
          <w:lang w:eastAsia="ja-JP"/>
        </w:rPr>
        <w:fldChar w:fldCharType="end"/>
      </w:r>
    </w:p>
    <w:p w14:paraId="473C3AC3" w14:textId="77970F3A" w:rsidR="00172CC0" w:rsidRPr="00F25707" w:rsidRDefault="00F25707" w:rsidP="000B1630">
      <w:pPr>
        <w:rPr>
          <w:b/>
          <w:color w:val="183F7C"/>
          <w:sz w:val="32"/>
          <w:szCs w:val="32"/>
        </w:rPr>
      </w:pPr>
      <w:r>
        <w:rPr>
          <w:b/>
          <w:color w:val="183F7C"/>
          <w:sz w:val="32"/>
          <w:szCs w:val="32"/>
        </w:rPr>
        <w:t>List of case studies</w:t>
      </w:r>
    </w:p>
    <w:p w14:paraId="23CE6069" w14:textId="05659246" w:rsidR="005A0E9F" w:rsidRDefault="00172CC0">
      <w:pPr>
        <w:pStyle w:val="TableofFigures"/>
        <w:rPr>
          <w:rFonts w:asciiTheme="minorHAnsi" w:eastAsiaTheme="minorEastAsia" w:hAnsiTheme="minorHAnsi"/>
          <w:color w:val="auto"/>
          <w:sz w:val="22"/>
          <w:szCs w:val="22"/>
          <w:lang w:eastAsia="en-NZ"/>
        </w:rPr>
      </w:pPr>
      <w:r>
        <w:rPr>
          <w:lang w:val="en-GB" w:eastAsia="zh-CN"/>
        </w:rPr>
        <w:fldChar w:fldCharType="begin"/>
      </w:r>
      <w:r>
        <w:rPr>
          <w:lang w:val="en-GB" w:eastAsia="zh-CN"/>
        </w:rPr>
        <w:instrText xml:space="preserve"> TOC \h \z \c "Case study" </w:instrText>
      </w:r>
      <w:r>
        <w:rPr>
          <w:lang w:val="en-GB" w:eastAsia="zh-CN"/>
        </w:rPr>
        <w:fldChar w:fldCharType="separate"/>
      </w:r>
      <w:hyperlink w:anchor="_Toc533411223" w:history="1">
        <w:r w:rsidR="005A0E9F" w:rsidRPr="00DF17F0">
          <w:rPr>
            <w:rStyle w:val="Hyperlink"/>
          </w:rPr>
          <w:t>Case study 1: Queenstown PAK’nSAVE</w:t>
        </w:r>
        <w:r w:rsidR="005A0E9F">
          <w:rPr>
            <w:webHidden/>
          </w:rPr>
          <w:tab/>
        </w:r>
        <w:r w:rsidR="005A0E9F">
          <w:rPr>
            <w:webHidden/>
          </w:rPr>
          <w:fldChar w:fldCharType="begin"/>
        </w:r>
        <w:r w:rsidR="005A0E9F">
          <w:rPr>
            <w:webHidden/>
          </w:rPr>
          <w:instrText xml:space="preserve"> PAGEREF _Toc533411223 \h </w:instrText>
        </w:r>
        <w:r w:rsidR="005A0E9F">
          <w:rPr>
            <w:webHidden/>
          </w:rPr>
        </w:r>
        <w:r w:rsidR="005A0E9F">
          <w:rPr>
            <w:webHidden/>
          </w:rPr>
          <w:fldChar w:fldCharType="separate"/>
        </w:r>
        <w:r w:rsidR="0034416C">
          <w:rPr>
            <w:webHidden/>
          </w:rPr>
          <w:t>16</w:t>
        </w:r>
        <w:r w:rsidR="005A0E9F">
          <w:rPr>
            <w:webHidden/>
          </w:rPr>
          <w:fldChar w:fldCharType="end"/>
        </w:r>
      </w:hyperlink>
    </w:p>
    <w:p w14:paraId="3F555A2F" w14:textId="0C3CDCD6" w:rsidR="005A0E9F" w:rsidRDefault="00152B58">
      <w:pPr>
        <w:pStyle w:val="TableofFigures"/>
        <w:rPr>
          <w:rFonts w:asciiTheme="minorHAnsi" w:eastAsiaTheme="minorEastAsia" w:hAnsiTheme="minorHAnsi"/>
          <w:color w:val="auto"/>
          <w:sz w:val="22"/>
          <w:szCs w:val="22"/>
          <w:lang w:eastAsia="en-NZ"/>
        </w:rPr>
      </w:pPr>
      <w:hyperlink r:id="rId20" w:anchor="_Toc533411224" w:history="1">
        <w:r w:rsidR="005A0E9F" w:rsidRPr="00DF17F0">
          <w:rPr>
            <w:rStyle w:val="Hyperlink"/>
          </w:rPr>
          <w:t>Case study 2: Examples from Christchurch</w:t>
        </w:r>
        <w:r w:rsidR="005A0E9F">
          <w:rPr>
            <w:webHidden/>
          </w:rPr>
          <w:tab/>
        </w:r>
        <w:r w:rsidR="005A0E9F">
          <w:rPr>
            <w:webHidden/>
          </w:rPr>
          <w:fldChar w:fldCharType="begin"/>
        </w:r>
        <w:r w:rsidR="005A0E9F">
          <w:rPr>
            <w:webHidden/>
          </w:rPr>
          <w:instrText xml:space="preserve"> PAGEREF _Toc533411224 \h </w:instrText>
        </w:r>
        <w:r w:rsidR="005A0E9F">
          <w:rPr>
            <w:webHidden/>
          </w:rPr>
        </w:r>
        <w:r w:rsidR="005A0E9F">
          <w:rPr>
            <w:webHidden/>
          </w:rPr>
          <w:fldChar w:fldCharType="separate"/>
        </w:r>
        <w:r w:rsidR="0034416C">
          <w:rPr>
            <w:webHidden/>
          </w:rPr>
          <w:t>18</w:t>
        </w:r>
        <w:r w:rsidR="005A0E9F">
          <w:rPr>
            <w:webHidden/>
          </w:rPr>
          <w:fldChar w:fldCharType="end"/>
        </w:r>
      </w:hyperlink>
    </w:p>
    <w:p w14:paraId="4871A633" w14:textId="4C5B9392" w:rsidR="005A0E9F" w:rsidRDefault="00152B58">
      <w:pPr>
        <w:pStyle w:val="TableofFigures"/>
        <w:rPr>
          <w:rFonts w:asciiTheme="minorHAnsi" w:eastAsiaTheme="minorEastAsia" w:hAnsiTheme="minorHAnsi"/>
          <w:color w:val="auto"/>
          <w:sz w:val="22"/>
          <w:szCs w:val="22"/>
          <w:lang w:eastAsia="en-NZ"/>
        </w:rPr>
      </w:pPr>
      <w:hyperlink r:id="rId21" w:anchor="_Toc533411225" w:history="1">
        <w:r w:rsidR="005A0E9F" w:rsidRPr="00DF17F0">
          <w:rPr>
            <w:rStyle w:val="Hyperlink"/>
          </w:rPr>
          <w:t>Case study 3: Queenstown PAK’nSAVE continued</w:t>
        </w:r>
        <w:r w:rsidR="005A0E9F">
          <w:rPr>
            <w:webHidden/>
          </w:rPr>
          <w:tab/>
        </w:r>
        <w:r w:rsidR="005A0E9F">
          <w:rPr>
            <w:webHidden/>
          </w:rPr>
          <w:fldChar w:fldCharType="begin"/>
        </w:r>
        <w:r w:rsidR="005A0E9F">
          <w:rPr>
            <w:webHidden/>
          </w:rPr>
          <w:instrText xml:space="preserve"> PAGEREF _Toc533411225 \h </w:instrText>
        </w:r>
        <w:r w:rsidR="005A0E9F">
          <w:rPr>
            <w:webHidden/>
          </w:rPr>
        </w:r>
        <w:r w:rsidR="005A0E9F">
          <w:rPr>
            <w:webHidden/>
          </w:rPr>
          <w:fldChar w:fldCharType="separate"/>
        </w:r>
        <w:r w:rsidR="0034416C">
          <w:rPr>
            <w:webHidden/>
          </w:rPr>
          <w:t>20</w:t>
        </w:r>
        <w:r w:rsidR="005A0E9F">
          <w:rPr>
            <w:webHidden/>
          </w:rPr>
          <w:fldChar w:fldCharType="end"/>
        </w:r>
      </w:hyperlink>
    </w:p>
    <w:p w14:paraId="4B01C64C" w14:textId="595457BD" w:rsidR="005A0E9F" w:rsidRDefault="00152B58">
      <w:pPr>
        <w:pStyle w:val="TableofFigures"/>
        <w:rPr>
          <w:rFonts w:asciiTheme="minorHAnsi" w:eastAsiaTheme="minorEastAsia" w:hAnsiTheme="minorHAnsi"/>
          <w:color w:val="auto"/>
          <w:sz w:val="22"/>
          <w:szCs w:val="22"/>
          <w:lang w:eastAsia="en-NZ"/>
        </w:rPr>
      </w:pPr>
      <w:hyperlink r:id="rId22" w:anchor="_Toc533411226" w:history="1">
        <w:r w:rsidR="005A0E9F" w:rsidRPr="00DF17F0">
          <w:rPr>
            <w:rStyle w:val="Hyperlink"/>
          </w:rPr>
          <w:t>Case study 4: Hamilton PAK’nSAVE</w:t>
        </w:r>
        <w:r w:rsidR="005A0E9F">
          <w:rPr>
            <w:webHidden/>
          </w:rPr>
          <w:tab/>
        </w:r>
        <w:r w:rsidR="005A0E9F">
          <w:rPr>
            <w:webHidden/>
          </w:rPr>
          <w:fldChar w:fldCharType="begin"/>
        </w:r>
        <w:r w:rsidR="005A0E9F">
          <w:rPr>
            <w:webHidden/>
          </w:rPr>
          <w:instrText xml:space="preserve"> PAGEREF _Toc533411226 \h </w:instrText>
        </w:r>
        <w:r w:rsidR="005A0E9F">
          <w:rPr>
            <w:webHidden/>
          </w:rPr>
        </w:r>
        <w:r w:rsidR="005A0E9F">
          <w:rPr>
            <w:webHidden/>
          </w:rPr>
          <w:fldChar w:fldCharType="separate"/>
        </w:r>
        <w:r w:rsidR="0034416C">
          <w:rPr>
            <w:webHidden/>
          </w:rPr>
          <w:t>21</w:t>
        </w:r>
        <w:r w:rsidR="005A0E9F">
          <w:rPr>
            <w:webHidden/>
          </w:rPr>
          <w:fldChar w:fldCharType="end"/>
        </w:r>
      </w:hyperlink>
    </w:p>
    <w:p w14:paraId="1E212E4C" w14:textId="6843B1D2" w:rsidR="005A0E9F" w:rsidRDefault="00152B58">
      <w:pPr>
        <w:pStyle w:val="TableofFigures"/>
        <w:rPr>
          <w:rFonts w:asciiTheme="minorHAnsi" w:eastAsiaTheme="minorEastAsia" w:hAnsiTheme="minorHAnsi"/>
          <w:color w:val="auto"/>
          <w:sz w:val="22"/>
          <w:szCs w:val="22"/>
          <w:lang w:eastAsia="en-NZ"/>
        </w:rPr>
      </w:pPr>
      <w:hyperlink w:anchor="_Toc533411227" w:history="1">
        <w:r w:rsidR="005A0E9F" w:rsidRPr="00DF17F0">
          <w:rPr>
            <w:rStyle w:val="Hyperlink"/>
          </w:rPr>
          <w:t>Case study 5: Auckland Council’s draft DC Policy update</w:t>
        </w:r>
        <w:r w:rsidR="005A0E9F">
          <w:rPr>
            <w:webHidden/>
          </w:rPr>
          <w:tab/>
        </w:r>
        <w:r w:rsidR="005A0E9F">
          <w:rPr>
            <w:webHidden/>
          </w:rPr>
          <w:fldChar w:fldCharType="begin"/>
        </w:r>
        <w:r w:rsidR="005A0E9F">
          <w:rPr>
            <w:webHidden/>
          </w:rPr>
          <w:instrText xml:space="preserve"> PAGEREF _Toc533411227 \h </w:instrText>
        </w:r>
        <w:r w:rsidR="005A0E9F">
          <w:rPr>
            <w:webHidden/>
          </w:rPr>
        </w:r>
        <w:r w:rsidR="005A0E9F">
          <w:rPr>
            <w:webHidden/>
          </w:rPr>
          <w:fldChar w:fldCharType="separate"/>
        </w:r>
        <w:r w:rsidR="0034416C">
          <w:rPr>
            <w:webHidden/>
          </w:rPr>
          <w:t>21</w:t>
        </w:r>
        <w:r w:rsidR="005A0E9F">
          <w:rPr>
            <w:webHidden/>
          </w:rPr>
          <w:fldChar w:fldCharType="end"/>
        </w:r>
      </w:hyperlink>
    </w:p>
    <w:p w14:paraId="79F9E788" w14:textId="798888D7" w:rsidR="005A0E9F" w:rsidRDefault="00152B58">
      <w:pPr>
        <w:pStyle w:val="TableofFigures"/>
        <w:rPr>
          <w:rFonts w:asciiTheme="minorHAnsi" w:eastAsiaTheme="minorEastAsia" w:hAnsiTheme="minorHAnsi"/>
          <w:color w:val="auto"/>
          <w:sz w:val="22"/>
          <w:szCs w:val="22"/>
          <w:lang w:eastAsia="en-NZ"/>
        </w:rPr>
      </w:pPr>
      <w:hyperlink r:id="rId23" w:anchor="_Toc533411228" w:history="1">
        <w:r w:rsidR="005A0E9F" w:rsidRPr="00DF17F0">
          <w:rPr>
            <w:rStyle w:val="Hyperlink"/>
          </w:rPr>
          <w:t>Case study 6: Assessment issues</w:t>
        </w:r>
        <w:r w:rsidR="005A0E9F">
          <w:rPr>
            <w:webHidden/>
          </w:rPr>
          <w:tab/>
        </w:r>
        <w:r w:rsidR="005A0E9F">
          <w:rPr>
            <w:webHidden/>
          </w:rPr>
          <w:fldChar w:fldCharType="begin"/>
        </w:r>
        <w:r w:rsidR="005A0E9F">
          <w:rPr>
            <w:webHidden/>
          </w:rPr>
          <w:instrText xml:space="preserve"> PAGEREF _Toc533411228 \h </w:instrText>
        </w:r>
        <w:r w:rsidR="005A0E9F">
          <w:rPr>
            <w:webHidden/>
          </w:rPr>
        </w:r>
        <w:r w:rsidR="005A0E9F">
          <w:rPr>
            <w:webHidden/>
          </w:rPr>
          <w:fldChar w:fldCharType="separate"/>
        </w:r>
        <w:r w:rsidR="0034416C">
          <w:rPr>
            <w:webHidden/>
          </w:rPr>
          <w:t>28</w:t>
        </w:r>
        <w:r w:rsidR="005A0E9F">
          <w:rPr>
            <w:webHidden/>
          </w:rPr>
          <w:fldChar w:fldCharType="end"/>
        </w:r>
      </w:hyperlink>
    </w:p>
    <w:p w14:paraId="168DEA1D" w14:textId="11C73F26" w:rsidR="00C16F60" w:rsidRPr="000A0EC5" w:rsidRDefault="00172CC0" w:rsidP="000A0EC5">
      <w:pPr>
        <w:rPr>
          <w:lang w:val="en-GB" w:eastAsia="zh-CN"/>
        </w:rPr>
      </w:pPr>
      <w:r>
        <w:rPr>
          <w:lang w:val="en-GB" w:eastAsia="zh-CN"/>
        </w:rPr>
        <w:fldChar w:fldCharType="end"/>
      </w:r>
    </w:p>
    <w:p w14:paraId="1137DE6B" w14:textId="2465A6CB" w:rsidR="00AD7920" w:rsidRDefault="00E23631" w:rsidP="00F352C4">
      <w:pPr>
        <w:pStyle w:val="Heading1"/>
      </w:pPr>
      <w:bookmarkStart w:id="3" w:name="_Toc533411188"/>
      <w:r w:rsidRPr="008C75D3">
        <w:lastRenderedPageBreak/>
        <w:drawing>
          <wp:anchor distT="0" distB="0" distL="114300" distR="114300" simplePos="0" relativeHeight="251713536" behindDoc="1" locked="0" layoutInCell="1" allowOverlap="1" wp14:anchorId="690EF979" wp14:editId="44B1338E">
            <wp:simplePos x="0" y="0"/>
            <wp:positionH relativeFrom="column">
              <wp:posOffset>6350</wp:posOffset>
            </wp:positionH>
            <wp:positionV relativeFrom="paragraph">
              <wp:posOffset>492760</wp:posOffset>
            </wp:positionV>
            <wp:extent cx="8779510" cy="45085"/>
            <wp:effectExtent l="0" t="0" r="889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779510" cy="45085"/>
                    </a:xfrm>
                    <a:prstGeom prst="rect">
                      <a:avLst/>
                    </a:prstGeom>
                  </pic:spPr>
                </pic:pic>
              </a:graphicData>
            </a:graphic>
            <wp14:sizeRelH relativeFrom="page">
              <wp14:pctWidth>0</wp14:pctWidth>
            </wp14:sizeRelH>
            <wp14:sizeRelV relativeFrom="page">
              <wp14:pctHeight>0</wp14:pctHeight>
            </wp14:sizeRelV>
          </wp:anchor>
        </w:drawing>
      </w:r>
      <w:r w:rsidRPr="008C75D3">
        <w:t>Introduction</w:t>
      </w:r>
      <w:bookmarkEnd w:id="3"/>
    </w:p>
    <w:p w14:paraId="0E79A13B" w14:textId="729C1F14" w:rsidR="00E426F6" w:rsidRDefault="00480A49" w:rsidP="0067753B">
      <w:pPr>
        <w:rPr>
          <w:lang w:val="en-GB" w:eastAsia="zh-CN"/>
        </w:rPr>
      </w:pPr>
      <w:r>
        <w:rPr>
          <w:lang w:val="en-GB" w:eastAsia="zh-CN"/>
        </w:rPr>
        <w:t xml:space="preserve">TDB Advisory (TDB) has been engaged by Foodstuffs </w:t>
      </w:r>
      <w:r w:rsidR="00E426F6">
        <w:rPr>
          <w:lang w:val="en-GB" w:eastAsia="zh-CN"/>
        </w:rPr>
        <w:t>NZ Ltd</w:t>
      </w:r>
      <w:r>
        <w:rPr>
          <w:lang w:val="en-GB" w:eastAsia="zh-CN"/>
        </w:rPr>
        <w:t xml:space="preserve"> (Foodstuffs) to undertake an independent r</w:t>
      </w:r>
      <w:r w:rsidR="00D76F9E">
        <w:rPr>
          <w:lang w:val="en-GB" w:eastAsia="zh-CN"/>
        </w:rPr>
        <w:t>eview of</w:t>
      </w:r>
      <w:r w:rsidR="00EA2BA3">
        <w:rPr>
          <w:lang w:val="en-GB" w:eastAsia="zh-CN"/>
        </w:rPr>
        <w:t xml:space="preserve"> development contribution</w:t>
      </w:r>
      <w:r>
        <w:rPr>
          <w:lang w:val="en-GB" w:eastAsia="zh-CN"/>
        </w:rPr>
        <w:t xml:space="preserve"> </w:t>
      </w:r>
      <w:r w:rsidR="00727109">
        <w:rPr>
          <w:lang w:val="en-GB" w:eastAsia="zh-CN"/>
        </w:rPr>
        <w:t xml:space="preserve">(DC) </w:t>
      </w:r>
      <w:r w:rsidR="00EA2BA3">
        <w:rPr>
          <w:lang w:val="en-GB" w:eastAsia="zh-CN"/>
        </w:rPr>
        <w:t xml:space="preserve">charging mechanisms currently </w:t>
      </w:r>
      <w:r w:rsidR="00A12142">
        <w:rPr>
          <w:lang w:val="en-GB" w:eastAsia="zh-CN"/>
        </w:rPr>
        <w:t>used by</w:t>
      </w:r>
      <w:r w:rsidR="00EA2BA3">
        <w:rPr>
          <w:lang w:val="en-GB" w:eastAsia="zh-CN"/>
        </w:rPr>
        <w:t xml:space="preserve"> local councils. </w:t>
      </w:r>
    </w:p>
    <w:p w14:paraId="5D5EEE46" w14:textId="7A955728" w:rsidR="00DE0721" w:rsidRDefault="00EC726E" w:rsidP="0067753B">
      <w:pPr>
        <w:rPr>
          <w:lang w:val="en-GB" w:eastAsia="zh-CN"/>
        </w:rPr>
      </w:pPr>
      <w:r>
        <w:rPr>
          <w:lang w:val="en-GB" w:eastAsia="zh-CN"/>
        </w:rPr>
        <w:t xml:space="preserve">Foodstuffs, as a major </w:t>
      </w:r>
      <w:r w:rsidR="00E426F6">
        <w:rPr>
          <w:lang w:val="en-GB" w:eastAsia="zh-CN"/>
        </w:rPr>
        <w:t>developer</w:t>
      </w:r>
      <w:r w:rsidR="00627B3B">
        <w:rPr>
          <w:lang w:val="en-GB" w:eastAsia="zh-CN"/>
        </w:rPr>
        <w:t xml:space="preserve"> </w:t>
      </w:r>
      <w:r w:rsidR="00627B3B">
        <w:rPr>
          <w:lang w:val="en-AU" w:eastAsia="zh-TW"/>
        </w:rPr>
        <w:t>of properties for supermarket purposes</w:t>
      </w:r>
      <w:r w:rsidR="005A18DA">
        <w:rPr>
          <w:rFonts w:hint="eastAsia"/>
          <w:lang w:val="en-GB" w:eastAsia="zh-TW"/>
        </w:rPr>
        <w:t>,</w:t>
      </w:r>
      <w:r w:rsidR="00E426F6">
        <w:rPr>
          <w:lang w:val="en-GB" w:eastAsia="zh-CN"/>
        </w:rPr>
        <w:t xml:space="preserve"> has had a variety of experiences with DC charges across different </w:t>
      </w:r>
      <w:r w:rsidR="00627B3B">
        <w:rPr>
          <w:lang w:val="en-GB" w:eastAsia="zh-CN"/>
        </w:rPr>
        <w:t>parts of the country</w:t>
      </w:r>
      <w:r w:rsidR="00E426F6">
        <w:rPr>
          <w:lang w:val="en-GB" w:eastAsia="zh-CN"/>
        </w:rPr>
        <w:t>. Foodstuffs has found that while DCs operate under</w:t>
      </w:r>
      <w:r w:rsidR="00D6294D">
        <w:rPr>
          <w:lang w:val="en-GB" w:eastAsia="zh-CN"/>
        </w:rPr>
        <w:t xml:space="preserve"> sound</w:t>
      </w:r>
      <w:r w:rsidR="00627B3B">
        <w:rPr>
          <w:lang w:val="en-GB" w:eastAsia="zh-CN"/>
        </w:rPr>
        <w:t xml:space="preserve"> legislative principles </w:t>
      </w:r>
      <w:r w:rsidR="00EE1C88">
        <w:rPr>
          <w:lang w:val="en-GB" w:eastAsia="zh-CN"/>
        </w:rPr>
        <w:t>within</w:t>
      </w:r>
      <w:r w:rsidR="00DE0721">
        <w:rPr>
          <w:lang w:val="en-GB" w:eastAsia="zh-CN"/>
        </w:rPr>
        <w:t xml:space="preserve"> the Local Government Act</w:t>
      </w:r>
      <w:r w:rsidR="00627B3B">
        <w:rPr>
          <w:lang w:val="en-GB" w:eastAsia="zh-CN"/>
        </w:rPr>
        <w:t>, 2002 (LGA</w:t>
      </w:r>
      <w:r w:rsidR="00DE0721">
        <w:rPr>
          <w:lang w:val="en-GB" w:eastAsia="zh-CN"/>
        </w:rPr>
        <w:t xml:space="preserve">), in practice there appear to be situations where local councils do not act in accordance with the legislation. In particular, Foodstuffs has found that in </w:t>
      </w:r>
      <w:r w:rsidR="00627B3B">
        <w:rPr>
          <w:lang w:val="en-GB" w:eastAsia="zh-CN"/>
        </w:rPr>
        <w:t>many</w:t>
      </w:r>
      <w:r w:rsidR="00DE0721">
        <w:rPr>
          <w:lang w:val="en-GB" w:eastAsia="zh-CN"/>
        </w:rPr>
        <w:t xml:space="preserve"> cases, the DC purpose and principles legislated in</w:t>
      </w:r>
      <w:r w:rsidR="00627B3B">
        <w:rPr>
          <w:lang w:val="en-GB" w:eastAsia="zh-CN"/>
        </w:rPr>
        <w:t xml:space="preserve"> the 2014 Amendment to the LGA</w:t>
      </w:r>
      <w:r w:rsidR="00DE0721">
        <w:rPr>
          <w:lang w:val="en-GB" w:eastAsia="zh-CN"/>
        </w:rPr>
        <w:t xml:space="preserve"> are not be</w:t>
      </w:r>
      <w:r w:rsidR="00627B3B">
        <w:rPr>
          <w:lang w:val="en-GB" w:eastAsia="zh-CN"/>
        </w:rPr>
        <w:t>ing</w:t>
      </w:r>
      <w:r w:rsidR="00D6409E">
        <w:rPr>
          <w:lang w:val="en-GB" w:eastAsia="zh-CN"/>
        </w:rPr>
        <w:t xml:space="preserve"> </w:t>
      </w:r>
      <w:r w:rsidR="00DC64EC">
        <w:rPr>
          <w:lang w:val="en-GB" w:eastAsia="zh-CN"/>
        </w:rPr>
        <w:t xml:space="preserve">well </w:t>
      </w:r>
      <w:r w:rsidR="00DE0721">
        <w:rPr>
          <w:lang w:val="en-GB" w:eastAsia="zh-CN"/>
        </w:rPr>
        <w:t>implemented</w:t>
      </w:r>
      <w:r w:rsidR="00627B3B">
        <w:rPr>
          <w:lang w:val="en-GB" w:eastAsia="zh-CN"/>
        </w:rPr>
        <w:t xml:space="preserve"> </w:t>
      </w:r>
      <w:r w:rsidR="004B251E">
        <w:rPr>
          <w:lang w:val="en-GB" w:eastAsia="zh-CN"/>
        </w:rPr>
        <w:t xml:space="preserve">by local councils.  </w:t>
      </w:r>
    </w:p>
    <w:p w14:paraId="4C5B9548" w14:textId="148C6B29" w:rsidR="004B251E" w:rsidRDefault="004B251E" w:rsidP="00685CBC">
      <w:pPr>
        <w:spacing w:after="240"/>
        <w:rPr>
          <w:lang w:val="en-GB" w:eastAsia="zh-CN"/>
        </w:rPr>
      </w:pPr>
      <w:r>
        <w:rPr>
          <w:lang w:val="en-GB" w:eastAsia="zh-CN"/>
        </w:rPr>
        <w:t xml:space="preserve">TDB has been engaged to undertake </w:t>
      </w:r>
      <w:r w:rsidR="004D5310">
        <w:rPr>
          <w:lang w:val="en-GB" w:eastAsia="zh-CN"/>
        </w:rPr>
        <w:t xml:space="preserve">an </w:t>
      </w:r>
      <w:r>
        <w:rPr>
          <w:lang w:val="en-GB" w:eastAsia="zh-CN"/>
        </w:rPr>
        <w:t>analysis of the current DC charging regime</w:t>
      </w:r>
      <w:r w:rsidR="00627B3B">
        <w:rPr>
          <w:lang w:val="en-GB" w:eastAsia="zh-CN"/>
        </w:rPr>
        <w:t xml:space="preserve">, </w:t>
      </w:r>
      <w:r>
        <w:rPr>
          <w:lang w:val="en-GB" w:eastAsia="zh-CN"/>
        </w:rPr>
        <w:t xml:space="preserve">identify </w:t>
      </w:r>
      <w:r w:rsidR="00627B3B">
        <w:rPr>
          <w:lang w:val="en-GB" w:eastAsia="zh-CN"/>
        </w:rPr>
        <w:t xml:space="preserve">the </w:t>
      </w:r>
      <w:r>
        <w:rPr>
          <w:lang w:val="en-GB" w:eastAsia="zh-CN"/>
        </w:rPr>
        <w:t xml:space="preserve">key </w:t>
      </w:r>
      <w:r w:rsidR="00627B3B">
        <w:rPr>
          <w:lang w:val="en-GB" w:eastAsia="zh-CN"/>
        </w:rPr>
        <w:t>problems</w:t>
      </w:r>
      <w:r>
        <w:rPr>
          <w:lang w:val="en-GB" w:eastAsia="zh-CN"/>
        </w:rPr>
        <w:t xml:space="preserve"> </w:t>
      </w:r>
      <w:r w:rsidR="00F5681F">
        <w:rPr>
          <w:lang w:val="en-GB" w:eastAsia="zh-CN"/>
        </w:rPr>
        <w:t xml:space="preserve">with the system </w:t>
      </w:r>
      <w:r w:rsidR="00627B3B">
        <w:rPr>
          <w:lang w:val="en-GB" w:eastAsia="zh-CN"/>
        </w:rPr>
        <w:t>and</w:t>
      </w:r>
      <w:r w:rsidR="00F5681F">
        <w:rPr>
          <w:lang w:val="en-GB" w:eastAsia="zh-CN"/>
        </w:rPr>
        <w:t xml:space="preserve"> the underlying causes of </w:t>
      </w:r>
      <w:r w:rsidR="00627B3B">
        <w:rPr>
          <w:lang w:val="en-GB" w:eastAsia="zh-CN"/>
        </w:rPr>
        <w:t>the problems</w:t>
      </w:r>
      <w:r w:rsidR="00F5681F">
        <w:rPr>
          <w:lang w:val="en-GB" w:eastAsia="zh-CN"/>
        </w:rPr>
        <w:t xml:space="preserve">. </w:t>
      </w:r>
      <w:r w:rsidR="00627B3B">
        <w:rPr>
          <w:lang w:val="en-GB" w:eastAsia="zh-CN"/>
        </w:rPr>
        <w:t>Our process for</w:t>
      </w:r>
      <w:r w:rsidR="00A70F61">
        <w:rPr>
          <w:lang w:val="en-GB" w:eastAsia="zh-CN"/>
        </w:rPr>
        <w:t xml:space="preserve"> undertaking this </w:t>
      </w:r>
      <w:r w:rsidR="00627B3B">
        <w:rPr>
          <w:lang w:val="en-GB" w:eastAsia="zh-CN"/>
        </w:rPr>
        <w:t>review</w:t>
      </w:r>
      <w:r w:rsidR="00A70F61">
        <w:rPr>
          <w:lang w:val="en-GB" w:eastAsia="zh-CN"/>
        </w:rPr>
        <w:t xml:space="preserve"> involved:</w:t>
      </w:r>
    </w:p>
    <w:p w14:paraId="3771FFBE" w14:textId="2DBD6F71" w:rsidR="00A70F61" w:rsidRPr="00A70F61" w:rsidRDefault="00A70F61" w:rsidP="002B55F5">
      <w:pPr>
        <w:pStyle w:val="ListParagraph"/>
        <w:numPr>
          <w:ilvl w:val="0"/>
          <w:numId w:val="22"/>
        </w:numPr>
        <w:spacing w:after="120" w:line="276" w:lineRule="auto"/>
        <w:ind w:left="714" w:hanging="357"/>
        <w:contextualSpacing w:val="0"/>
        <w:rPr>
          <w:lang w:val="en-GB" w:eastAsia="zh-CN"/>
        </w:rPr>
      </w:pPr>
      <w:r>
        <w:rPr>
          <w:lang w:val="en-GB" w:eastAsia="zh-CN"/>
        </w:rPr>
        <w:t>examining DC legislation and its development;</w:t>
      </w:r>
    </w:p>
    <w:p w14:paraId="550A1031" w14:textId="3AF8AB98" w:rsidR="00A70F61" w:rsidRDefault="00A70F61" w:rsidP="002B55F5">
      <w:pPr>
        <w:pStyle w:val="ListParagraph"/>
        <w:numPr>
          <w:ilvl w:val="0"/>
          <w:numId w:val="22"/>
        </w:numPr>
        <w:spacing w:after="120" w:line="276" w:lineRule="auto"/>
        <w:ind w:left="714" w:hanging="357"/>
        <w:contextualSpacing w:val="0"/>
        <w:rPr>
          <w:lang w:val="en-GB" w:eastAsia="zh-CN"/>
        </w:rPr>
      </w:pPr>
      <w:r>
        <w:rPr>
          <w:lang w:val="en-GB" w:eastAsia="zh-CN"/>
        </w:rPr>
        <w:t>meeting with Foodstuffs</w:t>
      </w:r>
      <w:r w:rsidR="00740006">
        <w:rPr>
          <w:lang w:val="en-GB" w:eastAsia="zh-CN"/>
        </w:rPr>
        <w:t>’</w:t>
      </w:r>
      <w:r>
        <w:rPr>
          <w:lang w:val="en-GB" w:eastAsia="zh-CN"/>
        </w:rPr>
        <w:t xml:space="preserve"> property development </w:t>
      </w:r>
      <w:r w:rsidR="00DE03FC">
        <w:rPr>
          <w:lang w:val="en-GB" w:eastAsia="zh-CN"/>
        </w:rPr>
        <w:t>managers</w:t>
      </w:r>
      <w:r>
        <w:rPr>
          <w:lang w:val="en-GB" w:eastAsia="zh-CN"/>
        </w:rPr>
        <w:t xml:space="preserve"> and consultants</w:t>
      </w:r>
      <w:r w:rsidR="00DC1A40">
        <w:rPr>
          <w:lang w:val="en-GB" w:eastAsia="zh-CN"/>
        </w:rPr>
        <w:t xml:space="preserve"> and </w:t>
      </w:r>
      <w:r w:rsidR="00740006">
        <w:rPr>
          <w:lang w:val="en-GB" w:eastAsia="zh-CN"/>
        </w:rPr>
        <w:t>investigating</w:t>
      </w:r>
      <w:r w:rsidR="00DC1A40">
        <w:rPr>
          <w:lang w:val="en-GB" w:eastAsia="zh-CN"/>
        </w:rPr>
        <w:t xml:space="preserve"> key DC case studies from Foodstuffs’ experiences</w:t>
      </w:r>
      <w:r>
        <w:rPr>
          <w:lang w:val="en-GB" w:eastAsia="zh-CN"/>
        </w:rPr>
        <w:t>;</w:t>
      </w:r>
    </w:p>
    <w:p w14:paraId="73380FD6" w14:textId="79E3F23A" w:rsidR="00A70F61" w:rsidRDefault="00740006" w:rsidP="002B55F5">
      <w:pPr>
        <w:pStyle w:val="ListParagraph"/>
        <w:numPr>
          <w:ilvl w:val="0"/>
          <w:numId w:val="22"/>
        </w:numPr>
        <w:spacing w:after="120" w:line="276" w:lineRule="auto"/>
        <w:ind w:left="714" w:hanging="357"/>
        <w:contextualSpacing w:val="0"/>
        <w:rPr>
          <w:lang w:val="en-GB" w:eastAsia="zh-CN"/>
        </w:rPr>
      </w:pPr>
      <w:r>
        <w:rPr>
          <w:lang w:val="en-GB" w:eastAsia="zh-CN"/>
        </w:rPr>
        <w:t>identifying and assessing the</w:t>
      </w:r>
      <w:r w:rsidR="00DC1A40">
        <w:rPr>
          <w:lang w:val="en-GB" w:eastAsia="zh-CN"/>
        </w:rPr>
        <w:t xml:space="preserve"> key issues with the current system and their underlying causes; and</w:t>
      </w:r>
    </w:p>
    <w:p w14:paraId="255352FB" w14:textId="22212745" w:rsidR="00DC1A40" w:rsidRDefault="00DC1A40" w:rsidP="00685CBC">
      <w:pPr>
        <w:pStyle w:val="ListParagraph"/>
        <w:numPr>
          <w:ilvl w:val="0"/>
          <w:numId w:val="22"/>
        </w:numPr>
        <w:spacing w:after="240" w:line="276" w:lineRule="auto"/>
        <w:ind w:left="714" w:hanging="357"/>
        <w:contextualSpacing w:val="0"/>
        <w:rPr>
          <w:lang w:val="en-GB" w:eastAsia="zh-CN"/>
        </w:rPr>
      </w:pPr>
      <w:r>
        <w:rPr>
          <w:lang w:val="en-GB" w:eastAsia="zh-CN"/>
        </w:rPr>
        <w:t>prese</w:t>
      </w:r>
      <w:r w:rsidR="00740006">
        <w:rPr>
          <w:lang w:val="en-GB" w:eastAsia="zh-CN"/>
        </w:rPr>
        <w:t>nting a set of recommendations for</w:t>
      </w:r>
      <w:r>
        <w:rPr>
          <w:lang w:val="en-GB" w:eastAsia="zh-CN"/>
        </w:rPr>
        <w:t xml:space="preserve"> improvements to the current system.</w:t>
      </w:r>
    </w:p>
    <w:p w14:paraId="3370D9BC" w14:textId="77777777" w:rsidR="00D6294D" w:rsidRDefault="00F506DD" w:rsidP="00DC1A40">
      <w:pPr>
        <w:rPr>
          <w:lang w:val="en-GB" w:eastAsia="zh-CN"/>
        </w:rPr>
      </w:pPr>
      <w:r>
        <w:rPr>
          <w:lang w:val="en-GB" w:eastAsia="zh-CN"/>
        </w:rPr>
        <w:t xml:space="preserve">This report </w:t>
      </w:r>
      <w:r w:rsidR="00AC3549">
        <w:rPr>
          <w:lang w:val="en-GB" w:eastAsia="zh-CN"/>
        </w:rPr>
        <w:t xml:space="preserve">presents our findings. </w:t>
      </w:r>
    </w:p>
    <w:p w14:paraId="5EB5801B" w14:textId="2BDED1B6" w:rsidR="00DC1A40" w:rsidRPr="00DC1A40" w:rsidRDefault="00AC3549" w:rsidP="00DC1A40">
      <w:pPr>
        <w:rPr>
          <w:lang w:val="en-GB" w:eastAsia="zh-CN"/>
        </w:rPr>
      </w:pPr>
      <w:r>
        <w:rPr>
          <w:lang w:val="en-GB" w:eastAsia="zh-CN"/>
        </w:rPr>
        <w:t xml:space="preserve">Section 2 provides background on </w:t>
      </w:r>
      <w:r w:rsidR="00740006">
        <w:rPr>
          <w:lang w:val="en-GB" w:eastAsia="zh-CN"/>
        </w:rPr>
        <w:t xml:space="preserve">the </w:t>
      </w:r>
      <w:r>
        <w:rPr>
          <w:lang w:val="en-GB" w:eastAsia="zh-CN"/>
        </w:rPr>
        <w:t xml:space="preserve">DC legislation and its development, while Section 3 discusses the </w:t>
      </w:r>
      <w:r w:rsidR="00CB0AD8">
        <w:rPr>
          <w:lang w:val="en-GB" w:eastAsia="zh-CN"/>
        </w:rPr>
        <w:t xml:space="preserve">current situation with DC charging. </w:t>
      </w:r>
      <w:r w:rsidR="00181B7D">
        <w:rPr>
          <w:lang w:val="en-GB" w:eastAsia="zh-CN"/>
        </w:rPr>
        <w:t xml:space="preserve">Section 4 establishes the key issues we have </w:t>
      </w:r>
      <w:r w:rsidR="00740006">
        <w:rPr>
          <w:lang w:val="en-GB" w:eastAsia="zh-CN"/>
        </w:rPr>
        <w:t>identified</w:t>
      </w:r>
      <w:r w:rsidR="00181B7D">
        <w:rPr>
          <w:lang w:val="en-GB" w:eastAsia="zh-CN"/>
        </w:rPr>
        <w:t xml:space="preserve"> with the current system, followe</w:t>
      </w:r>
      <w:r w:rsidR="00740006">
        <w:rPr>
          <w:lang w:val="en-GB" w:eastAsia="zh-CN"/>
        </w:rPr>
        <w:t>d by discussion of some of the</w:t>
      </w:r>
      <w:r w:rsidR="00181B7D">
        <w:rPr>
          <w:lang w:val="en-GB" w:eastAsia="zh-CN"/>
        </w:rPr>
        <w:t xml:space="preserve"> possible underlying causes in Section 5. Section 6 presents our </w:t>
      </w:r>
      <w:r w:rsidR="005A18DA">
        <w:rPr>
          <w:lang w:val="en-GB" w:eastAsia="zh-CN"/>
        </w:rPr>
        <w:t>conclusions</w:t>
      </w:r>
      <w:r w:rsidR="00000B52">
        <w:rPr>
          <w:lang w:val="en-GB" w:eastAsia="zh-CN"/>
        </w:rPr>
        <w:t xml:space="preserve"> and finally</w:t>
      </w:r>
      <w:r w:rsidR="005A18DA">
        <w:rPr>
          <w:lang w:val="en-GB" w:eastAsia="zh-CN"/>
        </w:rPr>
        <w:t xml:space="preserve"> recommendations</w:t>
      </w:r>
      <w:r w:rsidR="004D4A1B">
        <w:rPr>
          <w:lang w:val="en-GB" w:eastAsia="zh-CN"/>
        </w:rPr>
        <w:t xml:space="preserve"> in Section 7. </w:t>
      </w:r>
    </w:p>
    <w:p w14:paraId="232ED0AE" w14:textId="6297B2DD" w:rsidR="00480A49" w:rsidRDefault="00480A49" w:rsidP="0067753B">
      <w:pPr>
        <w:rPr>
          <w:lang w:val="en-GB" w:eastAsia="zh-CN"/>
        </w:rPr>
      </w:pPr>
    </w:p>
    <w:p w14:paraId="70B5C45D" w14:textId="77777777" w:rsidR="00DC1A40" w:rsidRDefault="00DC1A40" w:rsidP="0067753B">
      <w:pPr>
        <w:rPr>
          <w:lang w:val="en-GB" w:eastAsia="zh-CN"/>
        </w:rPr>
      </w:pPr>
    </w:p>
    <w:p w14:paraId="4D579B2F" w14:textId="77777777" w:rsidR="00E426F6" w:rsidRPr="0067753B" w:rsidRDefault="00E426F6" w:rsidP="0067753B">
      <w:pPr>
        <w:rPr>
          <w:lang w:val="en-GB" w:eastAsia="zh-CN"/>
        </w:rPr>
      </w:pPr>
    </w:p>
    <w:p w14:paraId="0AA4D89D" w14:textId="6A4BEDD1" w:rsidR="0067753B" w:rsidRDefault="0067753B" w:rsidP="0067753B">
      <w:pPr>
        <w:pStyle w:val="Heading1"/>
      </w:pPr>
      <w:bookmarkStart w:id="4" w:name="_Toc533411189"/>
      <w:r w:rsidRPr="008C75D3">
        <w:lastRenderedPageBreak/>
        <w:drawing>
          <wp:anchor distT="0" distB="0" distL="114300" distR="114300" simplePos="0" relativeHeight="251761664" behindDoc="1" locked="0" layoutInCell="1" allowOverlap="1" wp14:anchorId="2CFB1375" wp14:editId="73EE57C1">
            <wp:simplePos x="0" y="0"/>
            <wp:positionH relativeFrom="column">
              <wp:posOffset>0</wp:posOffset>
            </wp:positionH>
            <wp:positionV relativeFrom="paragraph">
              <wp:posOffset>493500</wp:posOffset>
            </wp:positionV>
            <wp:extent cx="8779510" cy="45085"/>
            <wp:effectExtent l="0" t="0" r="889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779510" cy="45085"/>
                    </a:xfrm>
                    <a:prstGeom prst="rect">
                      <a:avLst/>
                    </a:prstGeom>
                  </pic:spPr>
                </pic:pic>
              </a:graphicData>
            </a:graphic>
            <wp14:sizeRelH relativeFrom="page">
              <wp14:pctWidth>0</wp14:pctWidth>
            </wp14:sizeRelH>
            <wp14:sizeRelV relativeFrom="page">
              <wp14:pctHeight>0</wp14:pctHeight>
            </wp14:sizeRelV>
          </wp:anchor>
        </w:drawing>
      </w:r>
      <w:r>
        <w:t>Background</w:t>
      </w:r>
      <w:bookmarkEnd w:id="4"/>
    </w:p>
    <w:p w14:paraId="233C8141" w14:textId="0DD401C0" w:rsidR="001B3C63" w:rsidRDefault="00A972D5" w:rsidP="001B3C63">
      <w:r>
        <w:t xml:space="preserve">Development contributions </w:t>
      </w:r>
      <w:r w:rsidR="001B3C63">
        <w:t xml:space="preserve">are a tool used by local councils to help fund the cost of growth-related infrastructure. </w:t>
      </w:r>
      <w:r w:rsidR="00207B33">
        <w:t xml:space="preserve">All </w:t>
      </w:r>
      <w:r w:rsidR="002A2A51">
        <w:t xml:space="preserve">types of </w:t>
      </w:r>
      <w:r w:rsidR="00207B33">
        <w:t xml:space="preserve">developments, including residential, commercial, industrial and retail </w:t>
      </w:r>
      <w:r w:rsidR="00E92E03">
        <w:t xml:space="preserve">sites </w:t>
      </w:r>
      <w:r w:rsidR="00207B33">
        <w:t xml:space="preserve">can be subject to DC charges by local councils, provided they create an additional demand on council-provided infrastructure. </w:t>
      </w:r>
      <w:r w:rsidR="007F7805">
        <w:t xml:space="preserve">Infrastructure </w:t>
      </w:r>
      <w:r w:rsidR="009C1507">
        <w:t>that can be funded by DCs tends to relate to stormwater, wastewater, water supply, transport and reserves (applicable to residential developments only).</w:t>
      </w:r>
    </w:p>
    <w:p w14:paraId="5F0B93E0" w14:textId="01ED8E58" w:rsidR="001B3C63" w:rsidRDefault="007924C6" w:rsidP="001B3C63">
      <w:r>
        <w:t xml:space="preserve">Since the </w:t>
      </w:r>
      <w:r w:rsidR="001E359A">
        <w:t xml:space="preserve">DC charging </w:t>
      </w:r>
      <w:r>
        <w:t xml:space="preserve">system </w:t>
      </w:r>
      <w:r w:rsidR="001E359A">
        <w:t>was introduced</w:t>
      </w:r>
      <w:r>
        <w:t xml:space="preserve">, there has been significant discussion </w:t>
      </w:r>
      <w:r w:rsidR="007E19B1">
        <w:t xml:space="preserve">around </w:t>
      </w:r>
      <w:r>
        <w:t xml:space="preserve">how DCs are charged. </w:t>
      </w:r>
      <w:r w:rsidR="008A731B">
        <w:t>This section provides an overview of the development of DC charging</w:t>
      </w:r>
      <w:r w:rsidR="005350D5">
        <w:t xml:space="preserve"> and</w:t>
      </w:r>
      <w:r w:rsidR="00CB2A9E">
        <w:t xml:space="preserve"> the surrounding legislation. </w:t>
      </w:r>
    </w:p>
    <w:p w14:paraId="2414B8FF" w14:textId="61FD3A96" w:rsidR="00A73C75" w:rsidRDefault="0067753B" w:rsidP="00D33D04">
      <w:pPr>
        <w:pStyle w:val="Heading2"/>
      </w:pPr>
      <w:bookmarkStart w:id="5" w:name="_Toc533411190"/>
      <w:r>
        <w:t xml:space="preserve">The development of </w:t>
      </w:r>
      <w:r w:rsidR="00661EAA">
        <w:t>development contributions</w:t>
      </w:r>
      <w:bookmarkEnd w:id="5"/>
    </w:p>
    <w:p w14:paraId="7AD4A8FC" w14:textId="3C14D4B9" w:rsidR="00D33D04" w:rsidRPr="00D33D04" w:rsidRDefault="00077F99" w:rsidP="00D33D04">
      <w:r>
        <w:t xml:space="preserve">Before the introduction of DCs, </w:t>
      </w:r>
      <w:r w:rsidR="00947522">
        <w:t xml:space="preserve">the main tool used by local councils to fund </w:t>
      </w:r>
      <w:r w:rsidR="00A73C75">
        <w:t xml:space="preserve">development related </w:t>
      </w:r>
      <w:r w:rsidR="00947522">
        <w:t xml:space="preserve">infrastructure </w:t>
      </w:r>
      <w:r w:rsidR="00D6294D">
        <w:t>was financial contributions (FCs).</w:t>
      </w:r>
      <w:r w:rsidR="00D33D04">
        <w:t xml:space="preserve"> FCs were set up under the Resourc</w:t>
      </w:r>
      <w:r w:rsidR="001B59A8">
        <w:t xml:space="preserve">e Management Act (RMA) in 1991 </w:t>
      </w:r>
      <w:r w:rsidR="00D33D04" w:rsidRPr="00D33D04">
        <w:t>to provide local a</w:t>
      </w:r>
      <w:r w:rsidR="001B59A8">
        <w:t>uthorities with a further means of</w:t>
      </w:r>
      <w:r w:rsidR="00D33D04" w:rsidRPr="00D33D04">
        <w:t xml:space="preserve"> avoid</w:t>
      </w:r>
      <w:r w:rsidR="001B59A8">
        <w:t xml:space="preserve">ing, remedying and mitigating the </w:t>
      </w:r>
      <w:r w:rsidR="00D33D04" w:rsidRPr="00D33D04">
        <w:t xml:space="preserve"> adverse environmental effects </w:t>
      </w:r>
      <w:r w:rsidR="00D33D04">
        <w:t>of development. Though there is some crossover in th</w:t>
      </w:r>
      <w:r w:rsidR="001B59A8">
        <w:t>e nature of DCs and FCs as cost-</w:t>
      </w:r>
      <w:r w:rsidR="00D33D04">
        <w:t xml:space="preserve">recovery tools, FCs differ from DCs in that they can only be charged through resource consents, do not have to be directly linked to growth and can be charged by regional councils (unlike DCs which can only be charged by local councils). </w:t>
      </w:r>
    </w:p>
    <w:p w14:paraId="594C15D7" w14:textId="7A3FBA75" w:rsidR="005778D9" w:rsidRPr="004B4F54" w:rsidRDefault="005778D9" w:rsidP="004B4F54">
      <w:r w:rsidRPr="005778D9">
        <w:t>Dur</w:t>
      </w:r>
      <w:r w:rsidR="00627B3B">
        <w:t>ing the development of the LGA</w:t>
      </w:r>
      <w:r w:rsidRPr="005778D9">
        <w:t xml:space="preserve">, </w:t>
      </w:r>
      <w:r w:rsidR="009C1507">
        <w:t xml:space="preserve">a number of issues were recognised with </w:t>
      </w:r>
      <w:r w:rsidR="00527498">
        <w:t>FC</w:t>
      </w:r>
      <w:r w:rsidR="00145958">
        <w:t>s as a cost recovery tool for growth related infrastructure.</w:t>
      </w:r>
      <w:r w:rsidR="00527498">
        <w:t xml:space="preserve"> </w:t>
      </w:r>
      <w:r w:rsidR="00145958">
        <w:t>These included the inability for councils to charg</w:t>
      </w:r>
      <w:r w:rsidR="004B4F54">
        <w:t>e FCs on infrastructure not linked to a resource consent, an inefficient appeals process and the lack of any clear principles and methodologies surrounding FCs.</w:t>
      </w:r>
      <w:r w:rsidR="009C1507">
        <w:t xml:space="preserve"> Councils tended to take</w:t>
      </w:r>
      <w:r w:rsidR="004B4F54">
        <w:t xml:space="preserve"> </w:t>
      </w:r>
      <w:r w:rsidR="009C1507">
        <w:t xml:space="preserve">a </w:t>
      </w:r>
      <w:r w:rsidR="004B4F54">
        <w:t xml:space="preserve">wide </w:t>
      </w:r>
      <w:r w:rsidR="009C1507">
        <w:t xml:space="preserve">variety </w:t>
      </w:r>
      <w:r w:rsidRPr="004B4F54">
        <w:rPr>
          <w:lang w:val="en-GB" w:eastAsia="zh-TW"/>
        </w:rPr>
        <w:t>of approaches</w:t>
      </w:r>
      <w:r w:rsidR="009C1507">
        <w:rPr>
          <w:lang w:val="en-GB" w:eastAsia="zh-TW"/>
        </w:rPr>
        <w:t xml:space="preserve"> to FCs</w:t>
      </w:r>
      <w:r w:rsidRPr="004B4F54">
        <w:rPr>
          <w:lang w:val="en-GB" w:eastAsia="zh-TW"/>
        </w:rPr>
        <w:t>,</w:t>
      </w:r>
      <w:r w:rsidR="009C1507">
        <w:rPr>
          <w:lang w:val="en-GB" w:eastAsia="zh-TW"/>
        </w:rPr>
        <w:t xml:space="preserve"> with</w:t>
      </w:r>
      <w:r w:rsidRPr="004B4F54">
        <w:rPr>
          <w:lang w:val="en-GB" w:eastAsia="zh-TW"/>
        </w:rPr>
        <w:t xml:space="preserve"> in</w:t>
      </w:r>
      <w:r w:rsidR="001B59A8" w:rsidRPr="004B4F54">
        <w:rPr>
          <w:lang w:val="en-GB" w:eastAsia="zh-TW"/>
        </w:rPr>
        <w:t>consistencies in implementation</w:t>
      </w:r>
      <w:r w:rsidRPr="004B4F54">
        <w:rPr>
          <w:lang w:val="en-GB" w:eastAsia="zh-TW"/>
        </w:rPr>
        <w:t xml:space="preserve"> </w:t>
      </w:r>
      <w:r w:rsidR="00DC49BC">
        <w:rPr>
          <w:lang w:val="en-GB" w:eastAsia="zh-TW"/>
        </w:rPr>
        <w:t xml:space="preserve">resulting in </w:t>
      </w:r>
      <w:r w:rsidR="009C1507">
        <w:rPr>
          <w:lang w:val="en-GB" w:eastAsia="zh-TW"/>
        </w:rPr>
        <w:t>un</w:t>
      </w:r>
      <w:r w:rsidRPr="004B4F54">
        <w:rPr>
          <w:lang w:val="en-GB" w:eastAsia="zh-TW"/>
        </w:rPr>
        <w:t xml:space="preserve">certainty and </w:t>
      </w:r>
      <w:r w:rsidR="00DC49BC">
        <w:rPr>
          <w:lang w:val="en-GB" w:eastAsia="zh-TW"/>
        </w:rPr>
        <w:t>un</w:t>
      </w:r>
      <w:r w:rsidRPr="004B4F54">
        <w:rPr>
          <w:lang w:val="en-GB" w:eastAsia="zh-TW"/>
        </w:rPr>
        <w:t xml:space="preserve">predictability </w:t>
      </w:r>
      <w:r w:rsidR="00DC49BC">
        <w:rPr>
          <w:lang w:val="en-GB" w:eastAsia="zh-TW"/>
        </w:rPr>
        <w:t xml:space="preserve">for </w:t>
      </w:r>
      <w:r w:rsidRPr="004B4F54">
        <w:rPr>
          <w:lang w:val="en-GB" w:eastAsia="zh-TW"/>
        </w:rPr>
        <w:t>developers.</w:t>
      </w:r>
    </w:p>
    <w:p w14:paraId="01E2119A" w14:textId="1E10F3F3" w:rsidR="005778D9" w:rsidRDefault="00527498" w:rsidP="005778D9">
      <w:pPr>
        <w:rPr>
          <w:lang w:val="en-GB" w:eastAsia="zh-TW"/>
        </w:rPr>
      </w:pPr>
      <w:r>
        <w:rPr>
          <w:lang w:val="en-GB" w:eastAsia="zh-TW"/>
        </w:rPr>
        <w:t xml:space="preserve">Acknowledging </w:t>
      </w:r>
      <w:r w:rsidR="005778D9" w:rsidRPr="005778D9">
        <w:rPr>
          <w:lang w:val="en-GB" w:eastAsia="zh-TW"/>
        </w:rPr>
        <w:t xml:space="preserve">the </w:t>
      </w:r>
      <w:r w:rsidR="00623894">
        <w:rPr>
          <w:lang w:val="en-GB" w:eastAsia="zh-TW"/>
        </w:rPr>
        <w:t>limitations</w:t>
      </w:r>
      <w:r w:rsidR="005778D9" w:rsidRPr="005778D9">
        <w:rPr>
          <w:lang w:val="en-GB" w:eastAsia="zh-TW"/>
        </w:rPr>
        <w:t xml:space="preserve"> </w:t>
      </w:r>
      <w:r w:rsidR="00623894">
        <w:rPr>
          <w:lang w:val="en-GB" w:eastAsia="zh-TW"/>
        </w:rPr>
        <w:t>of</w:t>
      </w:r>
      <w:r w:rsidR="005778D9" w:rsidRPr="005778D9">
        <w:rPr>
          <w:lang w:val="en-GB" w:eastAsia="zh-TW"/>
        </w:rPr>
        <w:t xml:space="preserve"> </w:t>
      </w:r>
      <w:r w:rsidR="00623894">
        <w:rPr>
          <w:lang w:val="en-GB" w:eastAsia="zh-TW"/>
        </w:rPr>
        <w:t>FCs</w:t>
      </w:r>
      <w:r w:rsidR="005778D9" w:rsidRPr="005778D9">
        <w:rPr>
          <w:lang w:val="en-GB" w:eastAsia="zh-TW"/>
        </w:rPr>
        <w:t>, the DC system was developed a</w:t>
      </w:r>
      <w:r w:rsidR="00627B3B">
        <w:rPr>
          <w:lang w:val="en-GB" w:eastAsia="zh-TW"/>
        </w:rPr>
        <w:t>nd implemented through the LGA</w:t>
      </w:r>
      <w:r w:rsidR="004119AA">
        <w:rPr>
          <w:lang w:val="en-GB" w:eastAsia="zh-TW"/>
        </w:rPr>
        <w:t>,</w:t>
      </w:r>
      <w:r w:rsidR="005778D9" w:rsidRPr="005778D9">
        <w:rPr>
          <w:lang w:val="en-GB" w:eastAsia="zh-TW"/>
        </w:rPr>
        <w:t xml:space="preserve"> as a more direct</w:t>
      </w:r>
      <w:r w:rsidR="001B59A8">
        <w:rPr>
          <w:lang w:val="en-GB" w:eastAsia="zh-TW"/>
        </w:rPr>
        <w:t xml:space="preserve"> growth-</w:t>
      </w:r>
      <w:r w:rsidR="005778D9" w:rsidRPr="005778D9">
        <w:rPr>
          <w:lang w:val="en-GB" w:eastAsia="zh-TW"/>
        </w:rPr>
        <w:t xml:space="preserve">related infrastructure cost-recovery tool </w:t>
      </w:r>
      <w:r w:rsidR="00627B3B">
        <w:rPr>
          <w:lang w:val="en-GB" w:eastAsia="zh-TW"/>
        </w:rPr>
        <w:t>for local authorities. The LGA</w:t>
      </w:r>
      <w:r w:rsidR="005778D9" w:rsidRPr="005778D9">
        <w:rPr>
          <w:lang w:val="en-GB" w:eastAsia="zh-TW"/>
        </w:rPr>
        <w:t xml:space="preserve"> established th</w:t>
      </w:r>
      <w:r w:rsidR="001475E8">
        <w:rPr>
          <w:lang w:val="en-GB" w:eastAsia="zh-TW"/>
        </w:rPr>
        <w:t xml:space="preserve">e ability for local councils to use DCs as a cost-recovery tool for growth-related infrastructure connected to a development, if the infrastructure is not already provided by </w:t>
      </w:r>
      <w:r w:rsidR="005778D9" w:rsidRPr="005778D9">
        <w:rPr>
          <w:lang w:val="en-GB" w:eastAsia="zh-TW"/>
        </w:rPr>
        <w:t xml:space="preserve">the developer, funded by a third party or being funded through </w:t>
      </w:r>
      <w:r w:rsidR="00553F39">
        <w:rPr>
          <w:lang w:val="en-GB" w:eastAsia="zh-TW"/>
        </w:rPr>
        <w:t>FCs</w:t>
      </w:r>
      <w:r w:rsidR="005778D9" w:rsidRPr="005778D9">
        <w:rPr>
          <w:lang w:val="en-GB" w:eastAsia="zh-TW"/>
        </w:rPr>
        <w:t>.</w:t>
      </w:r>
      <w:r w:rsidR="005778D9" w:rsidRPr="00A972D5">
        <w:rPr>
          <w:rStyle w:val="FootnoteReference"/>
          <w:sz w:val="20"/>
          <w:lang w:val="en-GB" w:eastAsia="zh-TW"/>
        </w:rPr>
        <w:footnoteReference w:id="1"/>
      </w:r>
      <w:r w:rsidR="00A73C75">
        <w:rPr>
          <w:lang w:val="en-GB" w:eastAsia="zh-TW"/>
        </w:rPr>
        <w:t xml:space="preserve"> </w:t>
      </w:r>
      <w:r w:rsidR="000F3184">
        <w:t>The DIA describes DCs as</w:t>
      </w:r>
      <w:r w:rsidR="00A73C75">
        <w:t>:</w:t>
      </w:r>
    </w:p>
    <w:p w14:paraId="4A5E1F21" w14:textId="78D3A59E" w:rsidR="00A73C75" w:rsidRPr="00A73C75" w:rsidRDefault="00A73C75" w:rsidP="00A73C75">
      <w:pPr>
        <w:ind w:left="567"/>
        <w:rPr>
          <w:i/>
        </w:rPr>
      </w:pPr>
      <w:r w:rsidRPr="00076563">
        <w:rPr>
          <w:i/>
        </w:rPr>
        <w:t>“a charge imposed on a developer by a council to recover some of the capital costs incurred by the council when providing infrastructure services for the development.”</w:t>
      </w:r>
      <w:r>
        <w:rPr>
          <w:i/>
        </w:rPr>
        <w:t xml:space="preserve"> </w:t>
      </w:r>
      <w:r w:rsidRPr="00076563">
        <w:rPr>
          <w:i/>
          <w:vertAlign w:val="superscript"/>
        </w:rPr>
        <w:footnoteReference w:id="2"/>
      </w:r>
    </w:p>
    <w:p w14:paraId="316BBED9" w14:textId="1E1FF62E" w:rsidR="004F5498" w:rsidRDefault="008427DA" w:rsidP="005778D9">
      <w:pPr>
        <w:rPr>
          <w:lang w:val="en-GB" w:eastAsia="zh-TW"/>
        </w:rPr>
      </w:pPr>
      <w:r>
        <w:rPr>
          <w:lang w:val="en-GB" w:eastAsia="zh-TW"/>
        </w:rPr>
        <w:t>Since DC charging was legislated</w:t>
      </w:r>
      <w:r w:rsidR="001B59A8">
        <w:rPr>
          <w:lang w:val="en-GB" w:eastAsia="zh-TW"/>
        </w:rPr>
        <w:t xml:space="preserve"> </w:t>
      </w:r>
      <w:r>
        <w:rPr>
          <w:lang w:val="en-GB" w:eastAsia="zh-TW"/>
        </w:rPr>
        <w:t xml:space="preserve">in 2002, it has become </w:t>
      </w:r>
      <w:r w:rsidR="004F5498">
        <w:rPr>
          <w:lang w:val="en-GB" w:eastAsia="zh-TW"/>
        </w:rPr>
        <w:t xml:space="preserve">a </w:t>
      </w:r>
      <w:r>
        <w:rPr>
          <w:lang w:val="en-GB" w:eastAsia="zh-TW"/>
        </w:rPr>
        <w:t>common cost-recovery</w:t>
      </w:r>
      <w:r w:rsidR="00E73402">
        <w:rPr>
          <w:lang w:val="en-GB" w:eastAsia="zh-TW"/>
        </w:rPr>
        <w:t xml:space="preserve"> method used by local councils</w:t>
      </w:r>
      <w:r w:rsidR="001B59A8">
        <w:rPr>
          <w:lang w:val="en-GB" w:eastAsia="zh-TW"/>
        </w:rPr>
        <w:t xml:space="preserve"> (see Section 3)</w:t>
      </w:r>
      <w:r w:rsidR="00E73402">
        <w:rPr>
          <w:lang w:val="en-GB" w:eastAsia="zh-TW"/>
        </w:rPr>
        <w:t xml:space="preserve">. </w:t>
      </w:r>
      <w:r w:rsidR="004F5498">
        <w:rPr>
          <w:lang w:val="en-GB" w:eastAsia="zh-TW"/>
        </w:rPr>
        <w:t>While FCs are still used in certain situations, it is now common for councils to charge DCs for direct growth</w:t>
      </w:r>
      <w:r w:rsidR="00A52C65">
        <w:rPr>
          <w:lang w:val="en-GB" w:eastAsia="zh-TW"/>
        </w:rPr>
        <w:t>-</w:t>
      </w:r>
      <w:r w:rsidR="004F5498">
        <w:rPr>
          <w:lang w:val="en-GB" w:eastAsia="zh-TW"/>
        </w:rPr>
        <w:t xml:space="preserve">related infrastructure like wastewater, water supply and transport. </w:t>
      </w:r>
      <w:r w:rsidR="003F157C">
        <w:rPr>
          <w:lang w:val="en-GB" w:eastAsia="zh-TW"/>
        </w:rPr>
        <w:t xml:space="preserve">FCs are now more commonly used for funding reserves and parks, or by councils in small, low growth areas. </w:t>
      </w:r>
    </w:p>
    <w:p w14:paraId="37328C8D" w14:textId="38E7C945" w:rsidR="00A73C75" w:rsidRDefault="00A73C75" w:rsidP="005778D9">
      <w:r>
        <w:t>In order to charge DCs, the LGA requires each local council to develop a DC policy. The DC policy details a council’s DC charging methodology and the charging rates per DC category</w:t>
      </w:r>
      <w:r w:rsidR="00FC780C">
        <w:t xml:space="preserve"> for each</w:t>
      </w:r>
      <w:r>
        <w:t xml:space="preserve"> catchment. These </w:t>
      </w:r>
      <w:r>
        <w:lastRenderedPageBreak/>
        <w:t>charges are set based on the anticipated infrastructure costs set out in the local council’s 10 year-plan</w:t>
      </w:r>
      <w:r w:rsidR="00FC780C">
        <w:t xml:space="preserve"> Long Term Plan</w:t>
      </w:r>
      <w:r>
        <w:t xml:space="preserve"> (LTP). </w:t>
      </w:r>
    </w:p>
    <w:p w14:paraId="140296C5" w14:textId="6D22B407" w:rsidR="00710603" w:rsidRDefault="00E151B2" w:rsidP="00685CBC">
      <w:pPr>
        <w:spacing w:after="240"/>
      </w:pPr>
      <w:r>
        <w:t xml:space="preserve">When DCs were first introduced, </w:t>
      </w:r>
      <w:r w:rsidR="00710603">
        <w:t xml:space="preserve">an initiative between Local </w:t>
      </w:r>
      <w:r w:rsidR="00912A2F">
        <w:t>Government</w:t>
      </w:r>
      <w:r w:rsidR="00710603">
        <w:t xml:space="preserve"> New Zealand, </w:t>
      </w:r>
      <w:r w:rsidR="000A6CAE">
        <w:t>N</w:t>
      </w:r>
      <w:r w:rsidR="000A6CAE" w:rsidRPr="000A6CAE">
        <w:t>ew Zealand Society of Local Government Managers (</w:t>
      </w:r>
      <w:r w:rsidR="00710603">
        <w:t>SOLGM</w:t>
      </w:r>
      <w:r w:rsidR="000A6CAE">
        <w:t>)</w:t>
      </w:r>
      <w:r w:rsidR="00710603">
        <w:t xml:space="preserve"> and the DIA was established to develop a</w:t>
      </w:r>
      <w:r>
        <w:t xml:space="preserve"> Best Practice Guide to Development Contributions</w:t>
      </w:r>
      <w:r w:rsidR="00710603">
        <w:t xml:space="preserve">. </w:t>
      </w:r>
      <w:r w:rsidR="00D27C9B">
        <w:t>The</w:t>
      </w:r>
      <w:r w:rsidR="00710603">
        <w:t xml:space="preserve"> guide</w:t>
      </w:r>
      <w:r w:rsidR="00D27C9B">
        <w:t xml:space="preserve"> was released in 2003 and</w:t>
      </w:r>
      <w:r w:rsidR="00710603">
        <w:t>:</w:t>
      </w:r>
      <w:r>
        <w:t xml:space="preserve"> </w:t>
      </w:r>
    </w:p>
    <w:p w14:paraId="67615180" w14:textId="4EE985C7" w:rsidR="00B102A0" w:rsidRPr="009B5DFC" w:rsidRDefault="009B5DFC" w:rsidP="00685CBC">
      <w:pPr>
        <w:pStyle w:val="ListParagraph"/>
        <w:numPr>
          <w:ilvl w:val="0"/>
          <w:numId w:val="28"/>
        </w:numPr>
        <w:spacing w:after="120" w:line="276" w:lineRule="auto"/>
        <w:ind w:left="714" w:hanging="357"/>
        <w:contextualSpacing w:val="0"/>
      </w:pPr>
      <w:r>
        <w:t>e</w:t>
      </w:r>
      <w:r w:rsidR="00B102A0">
        <w:t>xplains the legal framework surrounding FCs and DCs;</w:t>
      </w:r>
    </w:p>
    <w:p w14:paraId="1B650864" w14:textId="7FA73A5F" w:rsidR="00B102A0" w:rsidRPr="009B5DFC" w:rsidRDefault="009B5DFC" w:rsidP="00685CBC">
      <w:pPr>
        <w:pStyle w:val="ListParagraph"/>
        <w:numPr>
          <w:ilvl w:val="0"/>
          <w:numId w:val="28"/>
        </w:numPr>
        <w:spacing w:after="120" w:line="276" w:lineRule="auto"/>
        <w:ind w:left="714" w:hanging="357"/>
        <w:contextualSpacing w:val="0"/>
      </w:pPr>
      <w:r>
        <w:t>guides users on the stages of analysis and the process the legislation contemplates;</w:t>
      </w:r>
    </w:p>
    <w:p w14:paraId="4D774965" w14:textId="1305ECB5" w:rsidR="009B5DFC" w:rsidRDefault="009B5DFC" w:rsidP="00685CBC">
      <w:pPr>
        <w:pStyle w:val="ListParagraph"/>
        <w:numPr>
          <w:ilvl w:val="0"/>
          <w:numId w:val="28"/>
        </w:numPr>
        <w:spacing w:after="240" w:line="276" w:lineRule="auto"/>
        <w:ind w:left="714" w:hanging="357"/>
        <w:contextualSpacing w:val="0"/>
      </w:pPr>
      <w:r w:rsidRPr="009B5DFC">
        <w:t>presents recommendations on good p</w:t>
      </w:r>
      <w:r>
        <w:t>r</w:t>
      </w:r>
      <w:r w:rsidRPr="009B5DFC">
        <w:t>actice regarding charging systems and processes.</w:t>
      </w:r>
      <w:r w:rsidRPr="009B5DFC">
        <w:rPr>
          <w:vertAlign w:val="superscript"/>
        </w:rPr>
        <w:footnoteReference w:id="3"/>
      </w:r>
    </w:p>
    <w:p w14:paraId="655698E5" w14:textId="1AA16DC2" w:rsidR="009B5DFC" w:rsidRPr="009B5DFC" w:rsidRDefault="009B5DFC" w:rsidP="009B5DFC">
      <w:r>
        <w:t>The Best Practice Guide to Development Contributions released in 2003 is the only guide of such nature to be released thus far.</w:t>
      </w:r>
      <w:r w:rsidR="001F4CAD">
        <w:rPr>
          <w:rStyle w:val="FootnoteReference"/>
        </w:rPr>
        <w:footnoteReference w:id="4"/>
      </w:r>
      <w:r w:rsidR="001F4CAD">
        <w:t xml:space="preserve"> </w:t>
      </w:r>
    </w:p>
    <w:p w14:paraId="14170491" w14:textId="77777777" w:rsidR="006F01BB" w:rsidRDefault="006F01BB" w:rsidP="006F01BB">
      <w:pPr>
        <w:pStyle w:val="Heading2"/>
      </w:pPr>
      <w:bookmarkStart w:id="6" w:name="_Toc533411191"/>
      <w:r>
        <w:t>Charging based on Housing Unit Equivalents (HUEs)</w:t>
      </w:r>
      <w:bookmarkEnd w:id="6"/>
    </w:p>
    <w:p w14:paraId="41CF6D88" w14:textId="6741D6A3" w:rsidR="003F157C" w:rsidRPr="003F157C" w:rsidRDefault="003F157C" w:rsidP="006F01BB">
      <w:pPr>
        <w:rPr>
          <w:lang w:val="en-AU" w:eastAsia="zh-TW"/>
        </w:rPr>
      </w:pPr>
      <w:r>
        <w:rPr>
          <w:lang w:val="en-GB" w:eastAsia="zh-TW"/>
        </w:rPr>
        <w:t xml:space="preserve">Local councils tend </w:t>
      </w:r>
      <w:r w:rsidR="001253A0">
        <w:rPr>
          <w:lang w:val="en-GB" w:eastAsia="zh-TW"/>
        </w:rPr>
        <w:t xml:space="preserve">to </w:t>
      </w:r>
      <w:r>
        <w:rPr>
          <w:lang w:val="en-GB" w:eastAsia="zh-TW"/>
        </w:rPr>
        <w:t>charge DCs on a variety of developments using a common unit often known as ‘housing unit equivalents’ (</w:t>
      </w:r>
      <w:r w:rsidRPr="003F157C">
        <w:rPr>
          <w:lang w:val="en-GB" w:eastAsia="zh-TW"/>
        </w:rPr>
        <w:t>HUEs).</w:t>
      </w:r>
      <w:r w:rsidRPr="003F157C">
        <w:rPr>
          <w:rStyle w:val="FootnoteReference"/>
          <w:sz w:val="20"/>
          <w:lang w:val="en-GB" w:eastAsia="zh-TW"/>
        </w:rPr>
        <w:t xml:space="preserve"> </w:t>
      </w:r>
      <w:r w:rsidRPr="003F157C">
        <w:rPr>
          <w:rStyle w:val="FootnoteReference"/>
          <w:sz w:val="20"/>
          <w:lang w:val="en-GB" w:eastAsia="zh-TW"/>
        </w:rPr>
        <w:footnoteReference w:id="5"/>
      </w:r>
      <w:r>
        <w:rPr>
          <w:lang w:val="en-GB" w:eastAsia="zh-TW"/>
        </w:rPr>
        <w:t xml:space="preserve"> This is required by the LGA, which establishes that local councils set DC charges in accordance with an established unit of demand, which must </w:t>
      </w:r>
    </w:p>
    <w:p w14:paraId="53AC7B4E" w14:textId="602B9CA2" w:rsidR="006F01BB" w:rsidRPr="000C68AE" w:rsidRDefault="003F157C" w:rsidP="006F01BB">
      <w:pPr>
        <w:ind w:left="567"/>
        <w:rPr>
          <w:i/>
          <w:lang w:val="en-GB" w:eastAsia="zh-TW"/>
        </w:rPr>
      </w:pPr>
      <w:r w:rsidRPr="000C68AE">
        <w:rPr>
          <w:i/>
          <w:lang w:val="en-GB" w:eastAsia="zh-TW"/>
        </w:rPr>
        <w:t xml:space="preserve"> </w:t>
      </w:r>
      <w:r w:rsidR="006F01BB" w:rsidRPr="000C68AE">
        <w:rPr>
          <w:i/>
          <w:lang w:val="en-GB" w:eastAsia="zh-TW"/>
        </w:rPr>
        <w:t xml:space="preserve">“be attributed to particular developments on a consistent and </w:t>
      </w:r>
      <w:r w:rsidR="006F01BB" w:rsidRPr="00F91EEC">
        <w:rPr>
          <w:i/>
          <w:lang w:val="en-GB" w:eastAsia="zh-TW"/>
        </w:rPr>
        <w:t>equitable basis”</w:t>
      </w:r>
      <w:r w:rsidR="006F01BB" w:rsidRPr="00F91EEC">
        <w:rPr>
          <w:rStyle w:val="FootnoteReference"/>
          <w:sz w:val="20"/>
          <w:lang w:val="en-GB" w:eastAsia="zh-TW"/>
        </w:rPr>
        <w:t xml:space="preserve"> </w:t>
      </w:r>
      <w:r w:rsidR="006F01BB" w:rsidRPr="00F91EEC">
        <w:rPr>
          <w:rStyle w:val="FootnoteReference"/>
          <w:sz w:val="20"/>
          <w:lang w:val="en-GB" w:eastAsia="zh-TW"/>
        </w:rPr>
        <w:footnoteReference w:id="6"/>
      </w:r>
    </w:p>
    <w:p w14:paraId="0994C47A" w14:textId="09EBA98D" w:rsidR="00BF7DC5" w:rsidRDefault="006F01BB" w:rsidP="006F01BB">
      <w:pPr>
        <w:rPr>
          <w:lang w:val="en-GB" w:eastAsia="zh-TW"/>
        </w:rPr>
      </w:pPr>
      <w:r>
        <w:rPr>
          <w:lang w:val="en-GB" w:eastAsia="zh-TW"/>
        </w:rPr>
        <w:t xml:space="preserve">One HUE represents the average measure of impact on council infrastructure generated by one house. </w:t>
      </w:r>
      <w:r w:rsidR="00234A6C">
        <w:rPr>
          <w:lang w:val="en-GB" w:eastAsia="zh-TW"/>
        </w:rPr>
        <w:t>With this common measure, c</w:t>
      </w:r>
      <w:r>
        <w:rPr>
          <w:lang w:val="en-GB" w:eastAsia="zh-TW"/>
        </w:rPr>
        <w:t xml:space="preserve">ouncils can subsequently </w:t>
      </w:r>
      <w:r w:rsidR="00234A6C">
        <w:rPr>
          <w:lang w:val="en-GB" w:eastAsia="zh-TW"/>
        </w:rPr>
        <w:t>calculate the anticipated transport, water supply, wastewater, stormwater and reserve cost of one household, and set</w:t>
      </w:r>
      <w:r w:rsidR="00BF7DC5">
        <w:rPr>
          <w:lang w:val="en-GB" w:eastAsia="zh-TW"/>
        </w:rPr>
        <w:t xml:space="preserve"> DC charges </w:t>
      </w:r>
      <w:r w:rsidR="00234A6C">
        <w:rPr>
          <w:lang w:val="en-GB" w:eastAsia="zh-TW"/>
        </w:rPr>
        <w:t xml:space="preserve">accordingly. </w:t>
      </w:r>
    </w:p>
    <w:p w14:paraId="1B033548" w14:textId="481388EC" w:rsidR="006F01BB" w:rsidRDefault="006F01BB" w:rsidP="006F01BB">
      <w:pPr>
        <w:rPr>
          <w:lang w:val="en-GB" w:eastAsia="zh-TW"/>
        </w:rPr>
      </w:pPr>
      <w:r>
        <w:rPr>
          <w:lang w:val="en-GB" w:eastAsia="zh-TW"/>
        </w:rPr>
        <w:t xml:space="preserve">If there is pre-existing infrastructure on the site, HUE credits are applied to the development, reflecting the reduced demand on council infrastructure generated by the site. For example, if a house were to be knocked down and a new house built in its place, the new house would connect to existing water supply and stormwater infrastructure. </w:t>
      </w:r>
      <w:r w:rsidR="00BF7DC5">
        <w:rPr>
          <w:lang w:val="en-GB" w:eastAsia="zh-TW"/>
        </w:rPr>
        <w:t>A portion of t</w:t>
      </w:r>
      <w:r>
        <w:rPr>
          <w:lang w:val="en-GB" w:eastAsia="zh-TW"/>
        </w:rPr>
        <w:t xml:space="preserve">he DC costs of this infrastructure have already been accounted for by previous tenants, thus resulting in a HUE credit for the site. </w:t>
      </w:r>
    </w:p>
    <w:p w14:paraId="47F65AA5" w14:textId="77777777" w:rsidR="00407EC1" w:rsidRDefault="006F01BB" w:rsidP="008E1CA1">
      <w:pPr>
        <w:rPr>
          <w:lang w:val="en-GB" w:eastAsia="zh-TW"/>
        </w:rPr>
      </w:pPr>
      <w:r>
        <w:rPr>
          <w:lang w:val="en-GB" w:eastAsia="zh-TW"/>
        </w:rPr>
        <w:t>When it comes to residential developments, HUEs are relatively straightforward in application</w:t>
      </w:r>
      <w:r w:rsidR="00583B3A">
        <w:rPr>
          <w:lang w:val="en-GB" w:eastAsia="zh-TW"/>
        </w:rPr>
        <w:t xml:space="preserve"> (as one house </w:t>
      </w:r>
      <w:r w:rsidR="00C91C76">
        <w:rPr>
          <w:lang w:val="en-GB" w:eastAsia="zh-TW"/>
        </w:rPr>
        <w:t>generally</w:t>
      </w:r>
      <w:r w:rsidR="00583B3A">
        <w:rPr>
          <w:lang w:val="en-GB" w:eastAsia="zh-TW"/>
        </w:rPr>
        <w:t xml:space="preserve"> equate</w:t>
      </w:r>
      <w:r w:rsidR="00C91C76">
        <w:rPr>
          <w:lang w:val="en-GB" w:eastAsia="zh-TW"/>
        </w:rPr>
        <w:t>s</w:t>
      </w:r>
      <w:r w:rsidR="00583B3A">
        <w:rPr>
          <w:lang w:val="en-GB" w:eastAsia="zh-TW"/>
        </w:rPr>
        <w:t xml:space="preserve"> to one HUE)</w:t>
      </w:r>
      <w:r>
        <w:rPr>
          <w:lang w:val="en-GB" w:eastAsia="zh-TW"/>
        </w:rPr>
        <w:t xml:space="preserve">. Assessing DCs for commercial and retail developments is where this system is more complicated. </w:t>
      </w:r>
      <w:r w:rsidR="006F3CC2">
        <w:rPr>
          <w:lang w:val="en-GB" w:eastAsia="zh-TW"/>
        </w:rPr>
        <w:t xml:space="preserve">Local councils tend </w:t>
      </w:r>
      <w:r w:rsidR="00407EC1">
        <w:rPr>
          <w:lang w:val="en-GB" w:eastAsia="zh-TW"/>
        </w:rPr>
        <w:t>to</w:t>
      </w:r>
      <w:r w:rsidR="001410DF">
        <w:rPr>
          <w:lang w:val="en-GB" w:eastAsia="zh-TW"/>
        </w:rPr>
        <w:t xml:space="preserve"> use</w:t>
      </w:r>
      <w:r w:rsidR="006F3CC2">
        <w:rPr>
          <w:lang w:val="en-GB" w:eastAsia="zh-TW"/>
        </w:rPr>
        <w:t xml:space="preserve"> HUES as a proxy for</w:t>
      </w:r>
      <w:r w:rsidR="00407EC1">
        <w:rPr>
          <w:lang w:val="en-GB" w:eastAsia="zh-TW"/>
        </w:rPr>
        <w:t xml:space="preserve"> calculating DCs for </w:t>
      </w:r>
      <w:r w:rsidR="006F3CC2">
        <w:rPr>
          <w:lang w:val="en-GB" w:eastAsia="zh-TW"/>
        </w:rPr>
        <w:t>non-residential</w:t>
      </w:r>
      <w:r w:rsidR="00407EC1">
        <w:rPr>
          <w:lang w:val="en-GB" w:eastAsia="zh-TW"/>
        </w:rPr>
        <w:t xml:space="preserve"> properties, employing various multipliers to estimate the relative impacts of a development. </w:t>
      </w:r>
      <w:r w:rsidR="001410DF">
        <w:rPr>
          <w:lang w:val="en-GB" w:eastAsia="zh-TW"/>
        </w:rPr>
        <w:t>Ground floor area (GFA) or site area (ISA) is</w:t>
      </w:r>
      <w:r w:rsidR="00407EC1">
        <w:rPr>
          <w:lang w:val="en-GB" w:eastAsia="zh-TW"/>
        </w:rPr>
        <w:t xml:space="preserve"> often </w:t>
      </w:r>
      <w:r w:rsidR="001410DF">
        <w:rPr>
          <w:lang w:val="en-GB" w:eastAsia="zh-TW"/>
        </w:rPr>
        <w:t xml:space="preserve">used to </w:t>
      </w:r>
      <w:r w:rsidR="00407EC1">
        <w:rPr>
          <w:lang w:val="en-GB" w:eastAsia="zh-TW"/>
        </w:rPr>
        <w:t>calculate the HUEs for each DC for a development.</w:t>
      </w:r>
      <w:r w:rsidR="00DA13DB">
        <w:rPr>
          <w:lang w:val="en-GB" w:eastAsia="zh-TW"/>
        </w:rPr>
        <w:t xml:space="preserve"> This process requires assumptions on how characteristics of a non-residential development correlate with the HUE measurement. </w:t>
      </w:r>
    </w:p>
    <w:p w14:paraId="5BEA6D1A" w14:textId="616DAF99" w:rsidR="008E1CA1" w:rsidRDefault="006F01BB" w:rsidP="008E1CA1">
      <w:pPr>
        <w:rPr>
          <w:lang w:val="en-GB" w:eastAsia="zh-TW"/>
        </w:rPr>
      </w:pPr>
      <w:r>
        <w:rPr>
          <w:lang w:val="en-GB" w:eastAsia="zh-TW"/>
        </w:rPr>
        <w:t>As with residential developments, if there is already pre-existing infrastructure on a development site (</w:t>
      </w:r>
      <w:proofErr w:type="spellStart"/>
      <w:r>
        <w:rPr>
          <w:lang w:val="en-GB" w:eastAsia="zh-TW"/>
        </w:rPr>
        <w:t>ie</w:t>
      </w:r>
      <w:proofErr w:type="spellEnd"/>
      <w:r>
        <w:rPr>
          <w:lang w:val="en-GB" w:eastAsia="zh-TW"/>
        </w:rPr>
        <w:t xml:space="preserve">, it is a brownfield development), the local council is to apply HUE credits to the site. </w:t>
      </w:r>
    </w:p>
    <w:p w14:paraId="29C19D4C" w14:textId="5B4AB40E" w:rsidR="00BE2FFD" w:rsidRDefault="00FE77F9" w:rsidP="00FD5266">
      <w:pPr>
        <w:spacing w:after="320"/>
        <w:rPr>
          <w:lang w:val="en-GB" w:eastAsia="zh-TW"/>
        </w:rPr>
      </w:pPr>
      <w:r>
        <w:rPr>
          <w:lang w:val="en-GB" w:eastAsia="zh-TW"/>
        </w:rPr>
        <w:t xml:space="preserve">In its DC policy, each council establishes the DC charge (per HUE) for each DC category and each catchment within the district. Setting DC charges by catchment recognises the differences in infrastructure requirements and costs across different geographical areas. </w:t>
      </w:r>
    </w:p>
    <w:p w14:paraId="3CA0F35A" w14:textId="4A97A08E" w:rsidR="00B1694C" w:rsidRDefault="001B59A8" w:rsidP="00B1694C">
      <w:pPr>
        <w:pStyle w:val="Heading2"/>
      </w:pPr>
      <w:bookmarkStart w:id="7" w:name="_Toc533411192"/>
      <w:r>
        <w:lastRenderedPageBreak/>
        <w:t xml:space="preserve">2012 review </w:t>
      </w:r>
      <w:r w:rsidR="00661EAA">
        <w:t>of development contributions</w:t>
      </w:r>
      <w:bookmarkEnd w:id="7"/>
    </w:p>
    <w:p w14:paraId="5A342057" w14:textId="5974F2B4" w:rsidR="001253A0" w:rsidRPr="00DF318A" w:rsidRDefault="00EE257C" w:rsidP="00DF318A">
      <w:pPr>
        <w:rPr>
          <w:lang w:val="en-AU" w:eastAsia="zh-CN"/>
        </w:rPr>
      </w:pPr>
      <w:r>
        <w:rPr>
          <w:lang w:val="en-GB" w:eastAsia="zh-TW"/>
        </w:rPr>
        <w:t xml:space="preserve">Ten years after DC charging began, a </w:t>
      </w:r>
      <w:r w:rsidR="003052E7">
        <w:rPr>
          <w:lang w:val="en-GB" w:eastAsia="zh-TW"/>
        </w:rPr>
        <w:t>range</w:t>
      </w:r>
      <w:r>
        <w:rPr>
          <w:lang w:val="en-GB" w:eastAsia="zh-TW"/>
        </w:rPr>
        <w:t xml:space="preserve"> of issues surrounding the system</w:t>
      </w:r>
      <w:r w:rsidR="00933986">
        <w:rPr>
          <w:lang w:val="en-GB" w:eastAsia="zh-TW"/>
        </w:rPr>
        <w:t xml:space="preserve"> seemed to have</w:t>
      </w:r>
      <w:r>
        <w:rPr>
          <w:lang w:val="en-GB" w:eastAsia="zh-TW"/>
        </w:rPr>
        <w:t xml:space="preserve"> accumulated. On March</w:t>
      </w:r>
      <w:r w:rsidR="00362589">
        <w:rPr>
          <w:lang w:val="en-GB" w:eastAsia="zh-TW"/>
        </w:rPr>
        <w:t xml:space="preserve"> 1</w:t>
      </w:r>
      <w:r w:rsidR="00283E33">
        <w:rPr>
          <w:lang w:val="en-GB" w:eastAsia="zh-TW"/>
        </w:rPr>
        <w:t>,</w:t>
      </w:r>
      <w:r>
        <w:rPr>
          <w:lang w:val="en-GB" w:eastAsia="zh-TW"/>
        </w:rPr>
        <w:t xml:space="preserve"> 2012, </w:t>
      </w:r>
      <w:r>
        <w:rPr>
          <w:lang w:val="en-AU" w:eastAsia="zh-CN"/>
        </w:rPr>
        <w:t>the Productivity Commission released its Housing Affordability Inquiry</w:t>
      </w:r>
      <w:r w:rsidR="00B72C37">
        <w:rPr>
          <w:lang w:val="en-AU" w:eastAsia="zh-CN"/>
        </w:rPr>
        <w:t>.</w:t>
      </w:r>
      <w:r>
        <w:rPr>
          <w:lang w:val="en-AU" w:eastAsia="zh-CN"/>
        </w:rPr>
        <w:t xml:space="preserve"> </w:t>
      </w:r>
      <w:r w:rsidR="00B72C37">
        <w:rPr>
          <w:lang w:val="en-AU" w:eastAsia="zh-CN"/>
        </w:rPr>
        <w:t>This enquiry</w:t>
      </w:r>
      <w:r>
        <w:rPr>
          <w:lang w:val="en-AU" w:eastAsia="zh-CN"/>
        </w:rPr>
        <w:t xml:space="preserve"> discussed </w:t>
      </w:r>
      <w:proofErr w:type="gramStart"/>
      <w:r>
        <w:rPr>
          <w:lang w:val="en-AU" w:eastAsia="zh-CN"/>
        </w:rPr>
        <w:t xml:space="preserve">a </w:t>
      </w:r>
      <w:r w:rsidR="003052E7">
        <w:rPr>
          <w:lang w:val="en-AU" w:eastAsia="zh-CN"/>
        </w:rPr>
        <w:t>number</w:t>
      </w:r>
      <w:r>
        <w:rPr>
          <w:lang w:val="en-AU" w:eastAsia="zh-CN"/>
        </w:rPr>
        <w:t xml:space="preserve"> of</w:t>
      </w:r>
      <w:proofErr w:type="gramEnd"/>
      <w:r>
        <w:rPr>
          <w:lang w:val="en-AU" w:eastAsia="zh-CN"/>
        </w:rPr>
        <w:t xml:space="preserve"> conc</w:t>
      </w:r>
      <w:r w:rsidR="00DF318A">
        <w:rPr>
          <w:lang w:val="en-AU" w:eastAsia="zh-CN"/>
        </w:rPr>
        <w:t xml:space="preserve">erns surrounding DCs, including </w:t>
      </w:r>
      <w:r w:rsidR="00DF318A" w:rsidRPr="00DF318A">
        <w:rPr>
          <w:lang w:val="en-AU" w:eastAsia="zh-CN"/>
        </w:rPr>
        <w:t xml:space="preserve">whether the system </w:t>
      </w:r>
      <w:r w:rsidR="00DF318A">
        <w:rPr>
          <w:lang w:val="en-AU" w:eastAsia="zh-CN"/>
        </w:rPr>
        <w:t>promote</w:t>
      </w:r>
      <w:r w:rsidR="00B72C37">
        <w:rPr>
          <w:lang w:val="en-AU" w:eastAsia="zh-CN"/>
        </w:rPr>
        <w:t xml:space="preserve">s efficiency and equity; transparency </w:t>
      </w:r>
      <w:r w:rsidR="005507C9">
        <w:rPr>
          <w:lang w:val="en-AU" w:eastAsia="zh-CN"/>
        </w:rPr>
        <w:t>of charge setting; council</w:t>
      </w:r>
      <w:r w:rsidR="00BD3505">
        <w:rPr>
          <w:lang w:val="en-AU" w:eastAsia="zh-CN"/>
        </w:rPr>
        <w:t xml:space="preserve"> </w:t>
      </w:r>
      <w:r w:rsidR="005507C9">
        <w:rPr>
          <w:lang w:val="en-AU" w:eastAsia="zh-CN"/>
        </w:rPr>
        <w:t xml:space="preserve">resources and capability to </w:t>
      </w:r>
      <w:r w:rsidR="00DF318A">
        <w:rPr>
          <w:lang w:val="en-AU" w:eastAsia="zh-CN"/>
        </w:rPr>
        <w:t>administer the charges</w:t>
      </w:r>
      <w:r w:rsidR="005507C9">
        <w:rPr>
          <w:lang w:val="en-AU" w:eastAsia="zh-CN"/>
        </w:rPr>
        <w:t>; and the ability of</w:t>
      </w:r>
      <w:r w:rsidR="00DF318A">
        <w:rPr>
          <w:lang w:val="en-AU" w:eastAsia="zh-CN"/>
        </w:rPr>
        <w:t xml:space="preserve"> developers to challenge charges.</w:t>
      </w:r>
      <w:r w:rsidR="001253A0">
        <w:rPr>
          <w:lang w:val="en-AU" w:eastAsia="zh-CN"/>
        </w:rPr>
        <w:t xml:space="preserve"> The Commission also noted that the Best Practice Guidelines to Development Contributions had not been updated since their development in 2003. </w:t>
      </w:r>
    </w:p>
    <w:p w14:paraId="78305F84" w14:textId="11CDA448" w:rsidR="00DF318A" w:rsidRDefault="00DF318A" w:rsidP="00685CBC">
      <w:pPr>
        <w:spacing w:after="240"/>
        <w:rPr>
          <w:lang w:val="en-AU" w:eastAsia="zh-CN"/>
        </w:rPr>
      </w:pPr>
      <w:r>
        <w:rPr>
          <w:lang w:val="en-AU" w:eastAsia="zh-CN"/>
        </w:rPr>
        <w:t>Reviewing these issues in turn, the Productivity Commission provided the following four major recommendations to the gov</w:t>
      </w:r>
      <w:r w:rsidR="005507C9">
        <w:rPr>
          <w:lang w:val="en-AU" w:eastAsia="zh-CN"/>
        </w:rPr>
        <w:t>ernment surrounding DC charging:</w:t>
      </w:r>
    </w:p>
    <w:p w14:paraId="72CD33A0" w14:textId="3D225A68" w:rsidR="00DF318A" w:rsidRDefault="00DE1CB7" w:rsidP="00685CBC">
      <w:pPr>
        <w:pStyle w:val="ListParagraph"/>
        <w:numPr>
          <w:ilvl w:val="0"/>
          <w:numId w:val="9"/>
        </w:numPr>
        <w:spacing w:after="120" w:line="276" w:lineRule="auto"/>
        <w:ind w:left="714" w:hanging="357"/>
        <w:contextualSpacing w:val="0"/>
        <w:rPr>
          <w:lang w:val="en-GB" w:eastAsia="zh-TW"/>
        </w:rPr>
      </w:pPr>
      <w:r>
        <w:rPr>
          <w:lang w:val="en-AU" w:eastAsia="zh-TW"/>
        </w:rPr>
        <w:t>updating the</w:t>
      </w:r>
      <w:r w:rsidR="005507C9">
        <w:rPr>
          <w:lang w:val="en-GB" w:eastAsia="zh-TW"/>
        </w:rPr>
        <w:t xml:space="preserve"> Best-</w:t>
      </w:r>
      <w:r w:rsidR="00DF318A">
        <w:rPr>
          <w:lang w:val="en-GB" w:eastAsia="zh-TW"/>
        </w:rPr>
        <w:t>Practice Guidelines to improve understanding of development contributions and how they should be used</w:t>
      </w:r>
      <w:r>
        <w:rPr>
          <w:lang w:val="en-GB" w:eastAsia="zh-TW"/>
        </w:rPr>
        <w:t>, alongside developing a set of DC</w:t>
      </w:r>
      <w:r w:rsidR="00DF318A">
        <w:rPr>
          <w:lang w:val="en-GB" w:eastAsia="zh-TW"/>
        </w:rPr>
        <w:t xml:space="preserve"> </w:t>
      </w:r>
      <w:r w:rsidR="005507C9">
        <w:rPr>
          <w:lang w:val="en-GB" w:eastAsia="zh-TW"/>
        </w:rPr>
        <w:t xml:space="preserve">principles </w:t>
      </w:r>
      <w:r>
        <w:rPr>
          <w:lang w:val="en-GB" w:eastAsia="zh-TW"/>
        </w:rPr>
        <w:t>to be incorporated in the LGA</w:t>
      </w:r>
    </w:p>
    <w:p w14:paraId="454277E3" w14:textId="77777777" w:rsidR="00DF318A" w:rsidRPr="0020073F" w:rsidRDefault="00DF318A" w:rsidP="00685CBC">
      <w:pPr>
        <w:pStyle w:val="ListParagraph"/>
        <w:numPr>
          <w:ilvl w:val="0"/>
          <w:numId w:val="9"/>
        </w:numPr>
        <w:spacing w:after="120" w:line="276" w:lineRule="auto"/>
        <w:ind w:left="714" w:hanging="357"/>
        <w:contextualSpacing w:val="0"/>
        <w:rPr>
          <w:lang w:val="en-GB" w:eastAsia="zh-TW"/>
        </w:rPr>
      </w:pPr>
      <w:r w:rsidRPr="0020073F">
        <w:rPr>
          <w:lang w:val="en-GB" w:eastAsia="zh-TW"/>
        </w:rPr>
        <w:t xml:space="preserve">the establishment of a training programme for local authorities to improve practice around development contributions; </w:t>
      </w:r>
    </w:p>
    <w:p w14:paraId="21FE158F" w14:textId="77777777" w:rsidR="00DF318A" w:rsidRPr="0020073F" w:rsidRDefault="00DF318A" w:rsidP="00685CBC">
      <w:pPr>
        <w:pStyle w:val="ListParagraph"/>
        <w:numPr>
          <w:ilvl w:val="0"/>
          <w:numId w:val="9"/>
        </w:numPr>
        <w:spacing w:after="120" w:line="276" w:lineRule="auto"/>
        <w:ind w:left="714" w:hanging="357"/>
        <w:contextualSpacing w:val="0"/>
        <w:rPr>
          <w:lang w:val="en-GB" w:eastAsia="zh-TW"/>
        </w:rPr>
      </w:pPr>
      <w:r w:rsidRPr="0020073F">
        <w:rPr>
          <w:lang w:val="en-GB" w:eastAsia="zh-TW"/>
        </w:rPr>
        <w:t>the introduction of reporting requirements to demonstrate compliance with the guidelines; and</w:t>
      </w:r>
    </w:p>
    <w:p w14:paraId="2B8DDD7A" w14:textId="7E65D591" w:rsidR="00DF318A" w:rsidRPr="0020073F" w:rsidRDefault="00DF318A" w:rsidP="00685CBC">
      <w:pPr>
        <w:pStyle w:val="ListParagraph"/>
        <w:numPr>
          <w:ilvl w:val="0"/>
          <w:numId w:val="9"/>
        </w:numPr>
        <w:spacing w:after="240" w:line="276" w:lineRule="auto"/>
        <w:ind w:left="714" w:hanging="357"/>
        <w:contextualSpacing w:val="0"/>
        <w:rPr>
          <w:lang w:val="en-GB" w:eastAsia="zh-TW"/>
        </w:rPr>
      </w:pPr>
      <w:r w:rsidRPr="0020073F">
        <w:rPr>
          <w:lang w:val="en-GB" w:eastAsia="zh-TW"/>
        </w:rPr>
        <w:t>the introduction of a dispute resolution process similar to that in the Resource Management Act</w:t>
      </w:r>
      <w:r w:rsidR="005507C9">
        <w:rPr>
          <w:lang w:val="en-GB" w:eastAsia="zh-TW"/>
        </w:rPr>
        <w:t>,</w:t>
      </w:r>
      <w:r w:rsidRPr="0020073F">
        <w:rPr>
          <w:lang w:val="en-GB" w:eastAsia="zh-TW"/>
        </w:rPr>
        <w:t xml:space="preserve"> 1991 </w:t>
      </w:r>
      <w:r w:rsidRPr="00F91EEC">
        <w:rPr>
          <w:lang w:val="en-GB" w:eastAsia="zh-TW"/>
        </w:rPr>
        <w:t>(RMA)</w:t>
      </w:r>
      <w:r w:rsidR="001E1A5A" w:rsidRPr="00F91EEC">
        <w:rPr>
          <w:lang w:val="en-GB" w:eastAsia="zh-TW"/>
        </w:rPr>
        <w:t>.</w:t>
      </w:r>
      <w:r w:rsidRPr="00F91EEC">
        <w:rPr>
          <w:rStyle w:val="FootnoteReference"/>
          <w:sz w:val="20"/>
          <w:lang w:val="en-GB" w:eastAsia="zh-TW"/>
        </w:rPr>
        <w:footnoteReference w:id="7"/>
      </w:r>
    </w:p>
    <w:p w14:paraId="7C765294" w14:textId="4BE1B896" w:rsidR="00DF318A" w:rsidRDefault="00DF318A" w:rsidP="00DF318A">
      <w:pPr>
        <w:rPr>
          <w:lang w:val="en-GB" w:eastAsia="ja-JP"/>
        </w:rPr>
      </w:pPr>
      <w:r>
        <w:rPr>
          <w:lang w:val="en-AU" w:eastAsia="zh-CN"/>
        </w:rPr>
        <w:t xml:space="preserve">In </w:t>
      </w:r>
      <w:r>
        <w:rPr>
          <w:lang w:val="en-GB" w:eastAsia="ja-JP"/>
        </w:rPr>
        <w:t xml:space="preserve">response to the Productivity Commission’s enquiry, the Government </w:t>
      </w:r>
      <w:r w:rsidR="005507C9">
        <w:rPr>
          <w:lang w:val="en-GB" w:eastAsia="ja-JP"/>
        </w:rPr>
        <w:t>agreed</w:t>
      </w:r>
      <w:r>
        <w:rPr>
          <w:lang w:val="en-GB" w:eastAsia="ja-JP"/>
        </w:rPr>
        <w:t xml:space="preserve"> that the Department of Internal Affairs (DIA) facilitate a consultativ</w:t>
      </w:r>
      <w:r w:rsidR="005507C9">
        <w:rPr>
          <w:lang w:val="en-GB" w:eastAsia="ja-JP"/>
        </w:rPr>
        <w:t>e process for updating the Best-</w:t>
      </w:r>
      <w:r>
        <w:rPr>
          <w:lang w:val="en-GB" w:eastAsia="ja-JP"/>
        </w:rPr>
        <w:t xml:space="preserve">Practice </w:t>
      </w:r>
      <w:r w:rsidR="005507C9">
        <w:rPr>
          <w:lang w:val="en-GB" w:eastAsia="ja-JP"/>
        </w:rPr>
        <w:t xml:space="preserve">Guidelines for </w:t>
      </w:r>
      <w:proofErr w:type="gramStart"/>
      <w:r w:rsidR="005507C9">
        <w:rPr>
          <w:lang w:val="en-GB" w:eastAsia="ja-JP"/>
        </w:rPr>
        <w:t>DCs, and</w:t>
      </w:r>
      <w:proofErr w:type="gramEnd"/>
      <w:r w:rsidR="005507C9">
        <w:rPr>
          <w:lang w:val="en-GB" w:eastAsia="ja-JP"/>
        </w:rPr>
        <w:t xml:space="preserve"> develop</w:t>
      </w:r>
      <w:r>
        <w:rPr>
          <w:lang w:val="en-GB" w:eastAsia="ja-JP"/>
        </w:rPr>
        <w:t xml:space="preserve"> a set of high-level principles to be included in schedule 13 of the LGA. The Government also rec</w:t>
      </w:r>
      <w:r w:rsidR="00DA0F2E">
        <w:rPr>
          <w:lang w:val="en-GB" w:eastAsia="ja-JP"/>
        </w:rPr>
        <w:t>ommended that the DIA identify</w:t>
      </w:r>
      <w:r>
        <w:rPr>
          <w:lang w:val="en-GB" w:eastAsia="ja-JP"/>
        </w:rPr>
        <w:t xml:space="preserve"> information that local councils would need to provide in regular reports</w:t>
      </w:r>
      <w:r w:rsidR="00DA0F2E">
        <w:rPr>
          <w:lang w:val="en-GB" w:eastAsia="ja-JP"/>
        </w:rPr>
        <w:t>,</w:t>
      </w:r>
      <w:r>
        <w:rPr>
          <w:lang w:val="en-GB" w:eastAsia="ja-JP"/>
        </w:rPr>
        <w:t xml:space="preserve"> in order to demonstrate performance against the Guideline</w:t>
      </w:r>
      <w:r w:rsidR="005507C9">
        <w:rPr>
          <w:lang w:val="en-GB" w:eastAsia="ja-JP"/>
        </w:rPr>
        <w:t>s, as well as develop a dispute-</w:t>
      </w:r>
      <w:r>
        <w:rPr>
          <w:lang w:val="en-GB" w:eastAsia="ja-JP"/>
        </w:rPr>
        <w:t xml:space="preserve">resolution process for </w:t>
      </w:r>
      <w:r w:rsidRPr="00F91EEC">
        <w:rPr>
          <w:lang w:val="en-GB" w:eastAsia="ja-JP"/>
        </w:rPr>
        <w:t>DC charges</w:t>
      </w:r>
      <w:r w:rsidR="005507C9" w:rsidRPr="00F91EEC">
        <w:rPr>
          <w:lang w:val="en-GB" w:eastAsia="ja-JP"/>
        </w:rPr>
        <w:t>.</w:t>
      </w:r>
      <w:r w:rsidRPr="00F91EEC">
        <w:rPr>
          <w:rStyle w:val="FootnoteReference"/>
          <w:sz w:val="20"/>
          <w:lang w:val="en-GB" w:eastAsia="ja-JP"/>
        </w:rPr>
        <w:footnoteReference w:id="8"/>
      </w:r>
    </w:p>
    <w:p w14:paraId="2D7336F9" w14:textId="65FDDD4F" w:rsidR="006F01BB" w:rsidRDefault="00B41B6B" w:rsidP="00DF318A">
      <w:pPr>
        <w:rPr>
          <w:lang w:val="en-GB" w:eastAsia="ja-JP"/>
        </w:rPr>
      </w:pPr>
      <w:r>
        <w:rPr>
          <w:lang w:val="en-GB" w:eastAsia="ja-JP"/>
        </w:rPr>
        <w:t>What followed was the 2014 Amendment Act to the LGA</w:t>
      </w:r>
      <w:r w:rsidR="007477D6">
        <w:rPr>
          <w:lang w:val="en-GB" w:eastAsia="ja-JP"/>
        </w:rPr>
        <w:t>, which included changes to the DC charging system</w:t>
      </w:r>
      <w:r>
        <w:rPr>
          <w:lang w:val="en-GB" w:eastAsia="ja-JP"/>
        </w:rPr>
        <w:t xml:space="preserve">. </w:t>
      </w:r>
      <w:r w:rsidR="007477D6">
        <w:rPr>
          <w:lang w:val="en-GB" w:eastAsia="ja-JP"/>
        </w:rPr>
        <w:t>In the end a Best-Practice Guideline for DCs and a requirement for</w:t>
      </w:r>
      <w:r w:rsidR="006E4C42">
        <w:rPr>
          <w:lang w:val="en-GB" w:eastAsia="ja-JP"/>
        </w:rPr>
        <w:t xml:space="preserve"> </w:t>
      </w:r>
      <w:r w:rsidR="007477D6">
        <w:rPr>
          <w:lang w:val="en-GB" w:eastAsia="ja-JP"/>
        </w:rPr>
        <w:t xml:space="preserve">regular </w:t>
      </w:r>
      <w:r w:rsidR="006E4C42">
        <w:rPr>
          <w:lang w:val="en-GB" w:eastAsia="ja-JP"/>
        </w:rPr>
        <w:t xml:space="preserve">local council </w:t>
      </w:r>
      <w:r w:rsidR="007477D6">
        <w:rPr>
          <w:lang w:val="en-GB" w:eastAsia="ja-JP"/>
        </w:rPr>
        <w:t xml:space="preserve">reporting were not implemented in the Amendment Act, however the high-level principles and a number of other changes were. </w:t>
      </w:r>
    </w:p>
    <w:p w14:paraId="5E08E4AB" w14:textId="7CF13C08" w:rsidR="00583C2D" w:rsidRDefault="00531211" w:rsidP="005D6D66">
      <w:pPr>
        <w:pStyle w:val="Heading2"/>
      </w:pPr>
      <w:bookmarkStart w:id="8" w:name="_Toc533411193"/>
      <w:r>
        <w:t>Local Government Act</w:t>
      </w:r>
      <w:r w:rsidR="00661EAA">
        <w:t>,</w:t>
      </w:r>
      <w:r>
        <w:t xml:space="preserve"> 2002 Amendment Act</w:t>
      </w:r>
      <w:r w:rsidR="00661EAA">
        <w:t>,</w:t>
      </w:r>
      <w:r>
        <w:t xml:space="preserve"> 2014</w:t>
      </w:r>
      <w:bookmarkEnd w:id="8"/>
    </w:p>
    <w:p w14:paraId="20786AFB" w14:textId="6179DEC2" w:rsidR="00231756" w:rsidRDefault="00D72FF7" w:rsidP="00685CBC">
      <w:pPr>
        <w:spacing w:after="240"/>
        <w:rPr>
          <w:lang w:val="en-GB" w:eastAsia="ja-JP"/>
        </w:rPr>
      </w:pPr>
      <w:r>
        <w:rPr>
          <w:lang w:val="en-GB" w:eastAsia="ja-JP"/>
        </w:rPr>
        <w:t>As recommended by Government,</w:t>
      </w:r>
      <w:r w:rsidR="00EF76FD" w:rsidRPr="00EF76FD">
        <w:rPr>
          <w:lang w:val="en-GB" w:eastAsia="ja-JP"/>
        </w:rPr>
        <w:t xml:space="preserve"> </w:t>
      </w:r>
      <w:r w:rsidR="00EF76FD">
        <w:rPr>
          <w:lang w:val="en-GB" w:eastAsia="ja-JP"/>
        </w:rPr>
        <w:t xml:space="preserve">in 2013 </w:t>
      </w:r>
      <w:r>
        <w:rPr>
          <w:lang w:val="en-GB" w:eastAsia="ja-JP"/>
        </w:rPr>
        <w:t>the DIA initiated a ‘Development Contributions Review’</w:t>
      </w:r>
      <w:r w:rsidR="00517C2A">
        <w:rPr>
          <w:lang w:val="en-GB" w:eastAsia="ja-JP"/>
        </w:rPr>
        <w:t xml:space="preserve"> with the intention to incorporate its findings in the LGA, 2002 Amendment Act, 2014.</w:t>
      </w:r>
      <w:r>
        <w:rPr>
          <w:lang w:val="en-GB" w:eastAsia="ja-JP"/>
        </w:rPr>
        <w:t xml:space="preserve">  </w:t>
      </w:r>
      <w:r w:rsidR="00D46D80">
        <w:rPr>
          <w:lang w:val="en-GB" w:eastAsia="ja-JP"/>
        </w:rPr>
        <w:t xml:space="preserve">The DIA’s review </w:t>
      </w:r>
      <w:r w:rsidR="007C7169">
        <w:rPr>
          <w:lang w:val="en-GB" w:eastAsia="ja-JP"/>
        </w:rPr>
        <w:t>discussed</w:t>
      </w:r>
      <w:r w:rsidR="00023BDD">
        <w:rPr>
          <w:lang w:val="en-GB" w:eastAsia="ja-JP"/>
        </w:rPr>
        <w:t xml:space="preserve"> a range of issues</w:t>
      </w:r>
      <w:r w:rsidR="007C7169">
        <w:rPr>
          <w:lang w:val="en-GB" w:eastAsia="ja-JP"/>
        </w:rPr>
        <w:t xml:space="preserve"> with the system,</w:t>
      </w:r>
      <w:r w:rsidR="00023BDD">
        <w:rPr>
          <w:lang w:val="en-GB" w:eastAsia="ja-JP"/>
        </w:rPr>
        <w:t xml:space="preserve"> including those </w:t>
      </w:r>
      <w:r w:rsidR="007952EB">
        <w:rPr>
          <w:lang w:val="en-GB" w:eastAsia="ja-JP"/>
        </w:rPr>
        <w:t>identified by the Productivity Commission’</w:t>
      </w:r>
      <w:r w:rsidR="00023BDD">
        <w:rPr>
          <w:lang w:val="en-GB" w:eastAsia="ja-JP"/>
        </w:rPr>
        <w:t>s enquir</w:t>
      </w:r>
      <w:r w:rsidR="00204D1B">
        <w:rPr>
          <w:lang w:val="en-GB" w:eastAsia="ja-JP"/>
        </w:rPr>
        <w:t>y. Key amongst these issues were:</w:t>
      </w:r>
    </w:p>
    <w:p w14:paraId="13244F4C" w14:textId="57135209" w:rsidR="007952EB" w:rsidRPr="00E63524" w:rsidRDefault="005507C9" w:rsidP="00685CBC">
      <w:pPr>
        <w:pStyle w:val="BodyText"/>
        <w:numPr>
          <w:ilvl w:val="0"/>
          <w:numId w:val="11"/>
        </w:numPr>
        <w:spacing w:after="120" w:line="276" w:lineRule="auto"/>
        <w:ind w:left="709" w:hanging="357"/>
        <w:rPr>
          <w:rFonts w:ascii="Open Sans" w:eastAsia="MS Mincho" w:hAnsi="Open Sans" w:cstheme="minorBidi"/>
          <w:sz w:val="20"/>
          <w:szCs w:val="20"/>
          <w:lang w:val="en-GB" w:eastAsia="ja-JP"/>
        </w:rPr>
      </w:pPr>
      <w:r>
        <w:rPr>
          <w:rFonts w:ascii="Open Sans" w:eastAsia="MS Mincho" w:hAnsi="Open Sans" w:cstheme="minorBidi"/>
          <w:sz w:val="20"/>
          <w:szCs w:val="20"/>
          <w:lang w:val="en-GB" w:eastAsia="ja-JP"/>
        </w:rPr>
        <w:t>DCs were</w:t>
      </w:r>
      <w:r w:rsidR="007952EB" w:rsidRPr="00E63524">
        <w:rPr>
          <w:rFonts w:ascii="Open Sans" w:eastAsia="MS Mincho" w:hAnsi="Open Sans" w:cstheme="minorBidi"/>
          <w:sz w:val="20"/>
          <w:szCs w:val="20"/>
          <w:lang w:val="en-GB" w:eastAsia="ja-JP"/>
        </w:rPr>
        <w:t xml:space="preserve"> being used t</w:t>
      </w:r>
      <w:r>
        <w:rPr>
          <w:rFonts w:ascii="Open Sans" w:eastAsia="MS Mincho" w:hAnsi="Open Sans" w:cstheme="minorBidi"/>
          <w:sz w:val="20"/>
          <w:szCs w:val="20"/>
          <w:lang w:val="en-GB" w:eastAsia="ja-JP"/>
        </w:rPr>
        <w:t>o pay for infrastructure that was</w:t>
      </w:r>
      <w:r w:rsidR="007952EB" w:rsidRPr="00E63524">
        <w:rPr>
          <w:rFonts w:ascii="Open Sans" w:eastAsia="MS Mincho" w:hAnsi="Open Sans" w:cstheme="minorBidi"/>
          <w:sz w:val="20"/>
          <w:szCs w:val="20"/>
          <w:lang w:val="en-GB" w:eastAsia="ja-JP"/>
        </w:rPr>
        <w:t xml:space="preserve"> not directly associated with servicing a development, such as community facilities (</w:t>
      </w:r>
      <w:r>
        <w:rPr>
          <w:rFonts w:ascii="Open Sans" w:eastAsia="MS Mincho" w:hAnsi="Open Sans" w:cstheme="minorBidi"/>
          <w:sz w:val="20"/>
          <w:szCs w:val="20"/>
          <w:lang w:val="en-GB" w:eastAsia="ja-JP"/>
        </w:rPr>
        <w:t xml:space="preserve">e.g. </w:t>
      </w:r>
      <w:r w:rsidR="007952EB" w:rsidRPr="00E63524">
        <w:rPr>
          <w:rFonts w:ascii="Open Sans" w:eastAsia="MS Mincho" w:hAnsi="Open Sans" w:cstheme="minorBidi"/>
          <w:sz w:val="20"/>
          <w:szCs w:val="20"/>
          <w:lang w:val="en-GB" w:eastAsia="ja-JP"/>
        </w:rPr>
        <w:t>art galleries, cemeteries, and aquatic centres);</w:t>
      </w:r>
    </w:p>
    <w:p w14:paraId="7302DFA9" w14:textId="7D3DC90A" w:rsidR="007952EB" w:rsidRPr="00E63524" w:rsidRDefault="007952EB" w:rsidP="00685CBC">
      <w:pPr>
        <w:pStyle w:val="BodyText"/>
        <w:numPr>
          <w:ilvl w:val="0"/>
          <w:numId w:val="11"/>
        </w:numPr>
        <w:spacing w:after="120" w:line="276" w:lineRule="auto"/>
        <w:ind w:left="709" w:hanging="357"/>
        <w:rPr>
          <w:rFonts w:ascii="Open Sans" w:eastAsia="MS Mincho" w:hAnsi="Open Sans" w:cstheme="minorBidi"/>
          <w:sz w:val="20"/>
          <w:szCs w:val="20"/>
          <w:lang w:val="en-GB" w:eastAsia="ja-JP"/>
        </w:rPr>
      </w:pPr>
      <w:r w:rsidRPr="00E63524">
        <w:rPr>
          <w:rFonts w:ascii="Open Sans" w:eastAsia="MS Mincho" w:hAnsi="Open Sans" w:cstheme="minorBidi"/>
          <w:sz w:val="20"/>
          <w:szCs w:val="20"/>
          <w:lang w:val="en-GB" w:eastAsia="ja-JP"/>
        </w:rPr>
        <w:t>variability in how councils apportion</w:t>
      </w:r>
      <w:r w:rsidR="005507C9">
        <w:rPr>
          <w:rFonts w:ascii="Open Sans" w:eastAsia="MS Mincho" w:hAnsi="Open Sans" w:cstheme="minorBidi"/>
          <w:sz w:val="20"/>
          <w:szCs w:val="20"/>
          <w:lang w:val="en-GB" w:eastAsia="ja-JP"/>
        </w:rPr>
        <w:t>ed</w:t>
      </w:r>
      <w:r w:rsidRPr="00E63524">
        <w:rPr>
          <w:rFonts w:ascii="Open Sans" w:eastAsia="MS Mincho" w:hAnsi="Open Sans" w:cstheme="minorBidi"/>
          <w:sz w:val="20"/>
          <w:szCs w:val="20"/>
          <w:lang w:val="en-GB" w:eastAsia="ja-JP"/>
        </w:rPr>
        <w:t xml:space="preserve"> the costs and benefits of infrastructure between developers and the community;</w:t>
      </w:r>
    </w:p>
    <w:p w14:paraId="504B5A6B" w14:textId="1A136897" w:rsidR="007952EB" w:rsidRPr="00E63524" w:rsidRDefault="007952EB" w:rsidP="00685CBC">
      <w:pPr>
        <w:pStyle w:val="BodyText"/>
        <w:numPr>
          <w:ilvl w:val="0"/>
          <w:numId w:val="11"/>
        </w:numPr>
        <w:spacing w:after="120" w:line="276" w:lineRule="auto"/>
        <w:ind w:left="709" w:hanging="357"/>
        <w:rPr>
          <w:rFonts w:ascii="Open Sans" w:eastAsia="MS Mincho" w:hAnsi="Open Sans" w:cstheme="minorBidi"/>
          <w:sz w:val="20"/>
          <w:szCs w:val="20"/>
          <w:lang w:val="en-GB" w:eastAsia="ja-JP"/>
        </w:rPr>
      </w:pPr>
      <w:r w:rsidRPr="00E63524">
        <w:rPr>
          <w:rFonts w:ascii="Open Sans" w:eastAsia="MS Mincho" w:hAnsi="Open Sans" w:cstheme="minorBidi"/>
          <w:sz w:val="20"/>
          <w:szCs w:val="20"/>
          <w:lang w:val="en-GB" w:eastAsia="ja-JP"/>
        </w:rPr>
        <w:t xml:space="preserve">less than optimal transparency and accountability, particularly around the ability of developers to challenge </w:t>
      </w:r>
      <w:r w:rsidR="00C8706B">
        <w:rPr>
          <w:rFonts w:ascii="Open Sans" w:eastAsia="MS Mincho" w:hAnsi="Open Sans" w:cstheme="minorBidi"/>
          <w:sz w:val="20"/>
          <w:szCs w:val="20"/>
          <w:lang w:val="en-GB" w:eastAsia="ja-JP"/>
        </w:rPr>
        <w:t>DCs</w:t>
      </w:r>
      <w:r w:rsidRPr="00E63524">
        <w:rPr>
          <w:rFonts w:ascii="Open Sans" w:eastAsia="MS Mincho" w:hAnsi="Open Sans" w:cstheme="minorBidi"/>
          <w:sz w:val="20"/>
          <w:szCs w:val="20"/>
          <w:lang w:val="en-GB" w:eastAsia="ja-JP"/>
        </w:rPr>
        <w:t>; and</w:t>
      </w:r>
    </w:p>
    <w:p w14:paraId="75D896CE" w14:textId="17B1E6A9" w:rsidR="007952EB" w:rsidRDefault="007952EB" w:rsidP="00685CBC">
      <w:pPr>
        <w:pStyle w:val="BodyText"/>
        <w:numPr>
          <w:ilvl w:val="0"/>
          <w:numId w:val="11"/>
        </w:numPr>
        <w:spacing w:after="240" w:line="276" w:lineRule="auto"/>
        <w:ind w:left="709" w:hanging="357"/>
        <w:rPr>
          <w:rFonts w:ascii="Open Sans" w:eastAsia="MS Mincho" w:hAnsi="Open Sans" w:cstheme="minorBidi"/>
          <w:sz w:val="20"/>
          <w:szCs w:val="20"/>
          <w:lang w:val="en-GB" w:eastAsia="ja-JP"/>
        </w:rPr>
      </w:pPr>
      <w:r w:rsidRPr="00E63524">
        <w:rPr>
          <w:rFonts w:ascii="Open Sans" w:eastAsia="MS Mincho" w:hAnsi="Open Sans" w:cstheme="minorBidi"/>
          <w:sz w:val="20"/>
          <w:szCs w:val="20"/>
          <w:lang w:val="en-GB" w:eastAsia="ja-JP"/>
        </w:rPr>
        <w:lastRenderedPageBreak/>
        <w:t xml:space="preserve">variable local authority capability and capacity to develop and administer </w:t>
      </w:r>
      <w:r w:rsidR="00C8706B">
        <w:rPr>
          <w:rFonts w:ascii="Open Sans" w:eastAsia="MS Mincho" w:hAnsi="Open Sans" w:cstheme="minorBidi"/>
          <w:sz w:val="20"/>
          <w:szCs w:val="20"/>
          <w:lang w:val="en-GB" w:eastAsia="ja-JP"/>
        </w:rPr>
        <w:t>DC</w:t>
      </w:r>
      <w:r w:rsidRPr="00E63524">
        <w:rPr>
          <w:rFonts w:ascii="Open Sans" w:eastAsia="MS Mincho" w:hAnsi="Open Sans" w:cstheme="minorBidi"/>
          <w:sz w:val="20"/>
          <w:szCs w:val="20"/>
          <w:lang w:val="en-GB" w:eastAsia="ja-JP"/>
        </w:rPr>
        <w:t xml:space="preserve"> policies.</w:t>
      </w:r>
    </w:p>
    <w:p w14:paraId="5882A422" w14:textId="2BBDCDF8" w:rsidR="00C10755" w:rsidRDefault="00204D1B" w:rsidP="00685CBC">
      <w:pPr>
        <w:spacing w:after="240"/>
        <w:rPr>
          <w:lang w:val="en-GB" w:eastAsia="zh-TW"/>
        </w:rPr>
      </w:pPr>
      <w:r>
        <w:rPr>
          <w:lang w:val="en-GB" w:eastAsia="zh-TW"/>
        </w:rPr>
        <w:t xml:space="preserve">The review presented a range of options to address the identified issues, </w:t>
      </w:r>
      <w:r w:rsidR="00EF76FD">
        <w:rPr>
          <w:lang w:val="en-GB" w:eastAsia="zh-TW"/>
        </w:rPr>
        <w:t xml:space="preserve">followed by public consultation in February 2013. Upon completion, the findings of the review were considered, which then had influence on the </w:t>
      </w:r>
      <w:r w:rsidR="00AE03E6">
        <w:rPr>
          <w:lang w:val="en-GB" w:eastAsia="zh-TW"/>
        </w:rPr>
        <w:t xml:space="preserve">final </w:t>
      </w:r>
      <w:r w:rsidR="00EF76FD">
        <w:rPr>
          <w:lang w:val="en-GB" w:eastAsia="zh-TW"/>
        </w:rPr>
        <w:t xml:space="preserve">LGA Amendment Act, 2014. </w:t>
      </w:r>
      <w:proofErr w:type="gramStart"/>
      <w:r w:rsidR="002153EC">
        <w:rPr>
          <w:lang w:val="en-GB" w:eastAsia="zh-TW"/>
        </w:rPr>
        <w:t>In regards to</w:t>
      </w:r>
      <w:proofErr w:type="gramEnd"/>
      <w:r w:rsidR="002153EC">
        <w:rPr>
          <w:lang w:val="en-GB" w:eastAsia="zh-TW"/>
        </w:rPr>
        <w:t xml:space="preserve"> DC charging, </w:t>
      </w:r>
      <w:r w:rsidR="00D23B3F">
        <w:rPr>
          <w:lang w:val="en-GB" w:eastAsia="zh-TW"/>
        </w:rPr>
        <w:t xml:space="preserve">the Amendment Act </w:t>
      </w:r>
      <w:r w:rsidR="00E06EAC">
        <w:rPr>
          <w:lang w:val="en-GB" w:eastAsia="zh-TW"/>
        </w:rPr>
        <w:t>included the following changes:</w:t>
      </w:r>
    </w:p>
    <w:p w14:paraId="5DF088DE" w14:textId="45DA24BF" w:rsidR="00DA0F36" w:rsidRPr="00DA0F36" w:rsidRDefault="00E06EAC" w:rsidP="00685CBC">
      <w:pPr>
        <w:pStyle w:val="ListParagraph"/>
        <w:numPr>
          <w:ilvl w:val="0"/>
          <w:numId w:val="12"/>
        </w:numPr>
        <w:spacing w:after="120" w:line="276" w:lineRule="auto"/>
        <w:ind w:left="714" w:hanging="357"/>
        <w:contextualSpacing w:val="0"/>
        <w:rPr>
          <w:lang w:val="en-GB" w:eastAsia="zh-TW"/>
        </w:rPr>
      </w:pPr>
      <w:r>
        <w:rPr>
          <w:lang w:val="en-GB" w:eastAsia="zh-TW"/>
        </w:rPr>
        <w:t>a new</w:t>
      </w:r>
      <w:r w:rsidR="00DA0F36">
        <w:rPr>
          <w:lang w:val="en-GB" w:eastAsia="zh-TW"/>
        </w:rPr>
        <w:t xml:space="preserve"> set of principles to guide the use of DCs</w:t>
      </w:r>
      <w:r w:rsidR="00D23B3F">
        <w:rPr>
          <w:lang w:val="en-GB" w:eastAsia="zh-TW"/>
        </w:rPr>
        <w:t>, alongside a defined purpose of DCs</w:t>
      </w:r>
      <w:r w:rsidR="004024F1">
        <w:rPr>
          <w:lang w:val="en-GB" w:eastAsia="zh-TW"/>
        </w:rPr>
        <w:t>;</w:t>
      </w:r>
    </w:p>
    <w:p w14:paraId="4E43CABC" w14:textId="5E28D98E" w:rsidR="00AD19B2" w:rsidRPr="00E06EAC" w:rsidRDefault="00AD19B2" w:rsidP="00685CBC">
      <w:pPr>
        <w:pStyle w:val="ListParagraph"/>
        <w:numPr>
          <w:ilvl w:val="0"/>
          <w:numId w:val="12"/>
        </w:numPr>
        <w:spacing w:after="120" w:line="276" w:lineRule="auto"/>
        <w:ind w:left="714" w:hanging="357"/>
        <w:contextualSpacing w:val="0"/>
        <w:rPr>
          <w:lang w:val="en-GB" w:eastAsia="zh-TW"/>
        </w:rPr>
      </w:pPr>
      <w:r w:rsidRPr="005B2C72">
        <w:rPr>
          <w:lang w:val="en-GB" w:eastAsia="zh-TW"/>
        </w:rPr>
        <w:t>clarif</w:t>
      </w:r>
      <w:r w:rsidR="00E06EAC">
        <w:rPr>
          <w:lang w:val="en-GB" w:eastAsia="zh-TW"/>
        </w:rPr>
        <w:t>ication on</w:t>
      </w:r>
      <w:r w:rsidRPr="005B2C72">
        <w:rPr>
          <w:lang w:val="en-GB" w:eastAsia="zh-TW"/>
        </w:rPr>
        <w:t xml:space="preserve"> </w:t>
      </w:r>
      <w:r w:rsidR="00E06EAC">
        <w:rPr>
          <w:lang w:val="en-GB" w:eastAsia="zh-TW"/>
        </w:rPr>
        <w:t xml:space="preserve">and narrowing the range </w:t>
      </w:r>
      <w:r w:rsidRPr="00E06EAC">
        <w:rPr>
          <w:lang w:val="en-GB" w:eastAsia="zh-TW"/>
        </w:rPr>
        <w:t>of infrastructure that can be financed by development contributions</w:t>
      </w:r>
      <w:r w:rsidR="00C11175" w:rsidRPr="00E06EAC">
        <w:rPr>
          <w:lang w:val="en-GB" w:eastAsia="zh-TW"/>
        </w:rPr>
        <w:t xml:space="preserve"> (now excluding the likes of cemeteries, art galleries and aquatic centres)</w:t>
      </w:r>
      <w:r w:rsidRPr="00E06EAC">
        <w:rPr>
          <w:lang w:val="en-GB" w:eastAsia="zh-TW"/>
        </w:rPr>
        <w:t>;</w:t>
      </w:r>
    </w:p>
    <w:p w14:paraId="19C576AD" w14:textId="05C739C0" w:rsidR="00AD19B2" w:rsidRPr="005B2C72" w:rsidRDefault="00AD19B2" w:rsidP="00685CBC">
      <w:pPr>
        <w:pStyle w:val="ListParagraph"/>
        <w:numPr>
          <w:ilvl w:val="0"/>
          <w:numId w:val="12"/>
        </w:numPr>
        <w:spacing w:after="120" w:line="276" w:lineRule="auto"/>
        <w:ind w:left="714" w:hanging="357"/>
        <w:contextualSpacing w:val="0"/>
        <w:rPr>
          <w:lang w:val="en-GB" w:eastAsia="zh-TW"/>
        </w:rPr>
      </w:pPr>
      <w:r w:rsidRPr="005B2C72">
        <w:rPr>
          <w:lang w:val="en-GB" w:eastAsia="zh-TW"/>
        </w:rPr>
        <w:t>improv</w:t>
      </w:r>
      <w:r w:rsidR="00E06EAC">
        <w:rPr>
          <w:lang w:val="en-GB" w:eastAsia="zh-TW"/>
        </w:rPr>
        <w:t xml:space="preserve">ements to </w:t>
      </w:r>
      <w:r w:rsidRPr="005B2C72">
        <w:rPr>
          <w:lang w:val="en-GB" w:eastAsia="zh-TW"/>
        </w:rPr>
        <w:t>the transparency of development contributions policies;</w:t>
      </w:r>
    </w:p>
    <w:p w14:paraId="47667F4C" w14:textId="2341A290" w:rsidR="00AD19B2" w:rsidRPr="005B2C72" w:rsidRDefault="00E06EAC" w:rsidP="00685CBC">
      <w:pPr>
        <w:pStyle w:val="ListParagraph"/>
        <w:numPr>
          <w:ilvl w:val="0"/>
          <w:numId w:val="12"/>
        </w:numPr>
        <w:spacing w:after="120" w:line="276" w:lineRule="auto"/>
        <w:ind w:left="714" w:hanging="357"/>
        <w:contextualSpacing w:val="0"/>
        <w:rPr>
          <w:lang w:val="en-GB" w:eastAsia="zh-TW"/>
        </w:rPr>
      </w:pPr>
      <w:r>
        <w:rPr>
          <w:lang w:val="en-GB" w:eastAsia="zh-TW"/>
        </w:rPr>
        <w:t xml:space="preserve">encouragement of </w:t>
      </w:r>
      <w:r w:rsidR="00AD19B2" w:rsidRPr="005B2C72">
        <w:rPr>
          <w:lang w:val="en-GB" w:eastAsia="zh-TW"/>
        </w:rPr>
        <w:t>private provision of infrastructure through the use of development agreements;</w:t>
      </w:r>
    </w:p>
    <w:p w14:paraId="422E6625" w14:textId="0EA1502E" w:rsidR="00AD19B2" w:rsidRPr="005B2C72" w:rsidRDefault="00E06EAC" w:rsidP="00685CBC">
      <w:pPr>
        <w:pStyle w:val="ListParagraph"/>
        <w:numPr>
          <w:ilvl w:val="0"/>
          <w:numId w:val="12"/>
        </w:numPr>
        <w:spacing w:after="120" w:line="276" w:lineRule="auto"/>
        <w:ind w:left="714" w:hanging="357"/>
        <w:contextualSpacing w:val="0"/>
        <w:rPr>
          <w:lang w:val="en-GB" w:eastAsia="zh-TW"/>
        </w:rPr>
      </w:pPr>
      <w:r>
        <w:rPr>
          <w:lang w:val="en-GB" w:eastAsia="zh-TW"/>
        </w:rPr>
        <w:t>i</w:t>
      </w:r>
      <w:r w:rsidR="00AD19B2" w:rsidRPr="005B2C72">
        <w:rPr>
          <w:lang w:val="en-GB" w:eastAsia="zh-TW"/>
        </w:rPr>
        <w:t>ntroduc</w:t>
      </w:r>
      <w:r>
        <w:rPr>
          <w:lang w:val="en-GB" w:eastAsia="zh-TW"/>
        </w:rPr>
        <w:t>tion of</w:t>
      </w:r>
      <w:r w:rsidR="00AD19B2" w:rsidRPr="005B2C72">
        <w:rPr>
          <w:lang w:val="en-GB" w:eastAsia="zh-TW"/>
        </w:rPr>
        <w:t xml:space="preserve"> a development contributions objection process, with decisions made by independent commissioners; and</w:t>
      </w:r>
    </w:p>
    <w:p w14:paraId="091163A0" w14:textId="3F76951C" w:rsidR="00AD19B2" w:rsidRDefault="00AD19B2" w:rsidP="00685CBC">
      <w:pPr>
        <w:pStyle w:val="ListParagraph"/>
        <w:numPr>
          <w:ilvl w:val="0"/>
          <w:numId w:val="12"/>
        </w:numPr>
        <w:spacing w:after="240" w:line="276" w:lineRule="auto"/>
        <w:ind w:left="714" w:hanging="357"/>
        <w:contextualSpacing w:val="0"/>
        <w:rPr>
          <w:lang w:val="en-GB" w:eastAsia="zh-TW"/>
        </w:rPr>
      </w:pPr>
      <w:r w:rsidRPr="005B2C72">
        <w:rPr>
          <w:lang w:val="en-GB" w:eastAsia="zh-TW"/>
        </w:rPr>
        <w:t>clarif</w:t>
      </w:r>
      <w:r w:rsidR="00E06EAC">
        <w:rPr>
          <w:lang w:val="en-GB" w:eastAsia="zh-TW"/>
        </w:rPr>
        <w:t>ication on</w:t>
      </w:r>
      <w:r w:rsidRPr="005B2C72">
        <w:rPr>
          <w:lang w:val="en-GB" w:eastAsia="zh-TW"/>
        </w:rPr>
        <w:t xml:space="preserve"> legislative provisions to make them more workable and easier to understand.</w:t>
      </w:r>
    </w:p>
    <w:p w14:paraId="23352633" w14:textId="6E495DEC" w:rsidR="00E8627C" w:rsidRPr="00E8627C" w:rsidRDefault="00B320DD" w:rsidP="00E8627C">
      <w:pPr>
        <w:rPr>
          <w:lang w:val="en-GB" w:eastAsia="zh-TW"/>
        </w:rPr>
      </w:pPr>
      <w:r>
        <w:rPr>
          <w:lang w:val="en-GB" w:eastAsia="zh-TW"/>
        </w:rPr>
        <w:t>The date of assent for the A</w:t>
      </w:r>
      <w:r w:rsidR="00E8627C" w:rsidRPr="00E8627C">
        <w:rPr>
          <w:lang w:val="en-GB" w:eastAsia="zh-TW"/>
        </w:rPr>
        <w:t xml:space="preserve">mendment </w:t>
      </w:r>
      <w:r w:rsidR="00B2744E">
        <w:rPr>
          <w:lang w:val="en-GB" w:eastAsia="zh-TW"/>
        </w:rPr>
        <w:t>A</w:t>
      </w:r>
      <w:r w:rsidR="00E8627C" w:rsidRPr="00E8627C">
        <w:rPr>
          <w:lang w:val="en-GB" w:eastAsia="zh-TW"/>
        </w:rPr>
        <w:t>ct was 7 Aug</w:t>
      </w:r>
      <w:r>
        <w:rPr>
          <w:lang w:val="en-GB" w:eastAsia="zh-TW"/>
        </w:rPr>
        <w:t>ust 2014, however the changes to the DC regime</w:t>
      </w:r>
      <w:r w:rsidR="00E8627C" w:rsidRPr="00E8627C">
        <w:rPr>
          <w:lang w:val="en-GB" w:eastAsia="zh-TW"/>
        </w:rPr>
        <w:t xml:space="preserve"> came into effect at different times. From the day after enactment, councils </w:t>
      </w:r>
      <w:r w:rsidR="00F53EAA">
        <w:rPr>
          <w:lang w:val="en-GB" w:eastAsia="zh-TW"/>
        </w:rPr>
        <w:t>could only charge DCs on community infrastructure that fit under the new definition</w:t>
      </w:r>
      <w:r w:rsidR="00E8627C" w:rsidRPr="00E8627C">
        <w:rPr>
          <w:lang w:val="en-GB" w:eastAsia="zh-TW"/>
        </w:rPr>
        <w:t xml:space="preserve"> and the objection process became available. By 1 December 2014, councils were required to finalise the proposed changes to their DC policies as a basis for consultation. By 30 June 2015, councils</w:t>
      </w:r>
      <w:r w:rsidR="005B5A42">
        <w:rPr>
          <w:lang w:val="en-GB" w:eastAsia="zh-TW"/>
        </w:rPr>
        <w:t xml:space="preserve"> were required to publish</w:t>
      </w:r>
      <w:r w:rsidR="00E8627C" w:rsidRPr="00E8627C">
        <w:rPr>
          <w:lang w:val="en-GB" w:eastAsia="zh-TW"/>
        </w:rPr>
        <w:t xml:space="preserve"> amended DC policies that reflect</w:t>
      </w:r>
      <w:r w:rsidR="008E0460">
        <w:rPr>
          <w:lang w:val="en-GB" w:eastAsia="zh-TW"/>
        </w:rPr>
        <w:t>ed</w:t>
      </w:r>
      <w:r w:rsidR="00E8627C" w:rsidRPr="00E8627C">
        <w:rPr>
          <w:lang w:val="en-GB" w:eastAsia="zh-TW"/>
        </w:rPr>
        <w:t xml:space="preserve"> the </w:t>
      </w:r>
      <w:r w:rsidR="00E8627C">
        <w:rPr>
          <w:lang w:val="en-GB" w:eastAsia="zh-TW"/>
        </w:rPr>
        <w:t xml:space="preserve">new DC </w:t>
      </w:r>
      <w:r w:rsidR="00762092">
        <w:rPr>
          <w:lang w:val="en-GB" w:eastAsia="zh-TW"/>
        </w:rPr>
        <w:t xml:space="preserve">purpose and </w:t>
      </w:r>
      <w:r w:rsidR="00E8627C" w:rsidRPr="00E8627C">
        <w:rPr>
          <w:lang w:val="en-GB" w:eastAsia="zh-TW"/>
        </w:rPr>
        <w:t xml:space="preserve">principles. </w:t>
      </w:r>
    </w:p>
    <w:p w14:paraId="47CA669E" w14:textId="27F99850" w:rsidR="00355FD5" w:rsidRDefault="00355FD5" w:rsidP="00355FD5">
      <w:pPr>
        <w:pStyle w:val="Heading2"/>
      </w:pPr>
      <w:bookmarkStart w:id="9" w:name="_Toc533411194"/>
      <w:r>
        <w:t>D</w:t>
      </w:r>
      <w:r w:rsidR="00661EAA">
        <w:t>evelopment contribution purpose and p</w:t>
      </w:r>
      <w:r>
        <w:t>rinciples</w:t>
      </w:r>
      <w:bookmarkEnd w:id="9"/>
    </w:p>
    <w:p w14:paraId="636BA99F" w14:textId="65CAFD2A" w:rsidR="009B6859" w:rsidRDefault="00EE7704" w:rsidP="00642657">
      <w:pPr>
        <w:rPr>
          <w:lang w:val="en-GB" w:eastAsia="zh-TW"/>
        </w:rPr>
      </w:pPr>
      <w:r>
        <w:rPr>
          <w:lang w:val="en-GB" w:eastAsia="zh-TW"/>
        </w:rPr>
        <w:t xml:space="preserve">The DC purpose and </w:t>
      </w:r>
      <w:r w:rsidR="00B96ED1">
        <w:rPr>
          <w:lang w:val="en-GB" w:eastAsia="zh-TW"/>
        </w:rPr>
        <w:t>principles were an imp</w:t>
      </w:r>
      <w:r w:rsidR="00627B3B">
        <w:rPr>
          <w:lang w:val="en-GB" w:eastAsia="zh-TW"/>
        </w:rPr>
        <w:t>ortant inclusion in the LGA</w:t>
      </w:r>
      <w:r w:rsidR="00F53EAA">
        <w:rPr>
          <w:lang w:val="en-GB" w:eastAsia="zh-TW"/>
        </w:rPr>
        <w:t xml:space="preserve"> A</w:t>
      </w:r>
      <w:r w:rsidR="00B96ED1">
        <w:rPr>
          <w:lang w:val="en-GB" w:eastAsia="zh-TW"/>
        </w:rPr>
        <w:t>mendment</w:t>
      </w:r>
      <w:r w:rsidR="00113590">
        <w:rPr>
          <w:lang w:val="en-GB" w:eastAsia="zh-TW"/>
        </w:rPr>
        <w:t xml:space="preserve"> Act</w:t>
      </w:r>
      <w:r w:rsidR="00F53EAA">
        <w:rPr>
          <w:lang w:val="en-GB" w:eastAsia="zh-TW"/>
        </w:rPr>
        <w:t>,</w:t>
      </w:r>
      <w:r w:rsidR="00113590">
        <w:rPr>
          <w:lang w:val="en-GB" w:eastAsia="zh-TW"/>
        </w:rPr>
        <w:t xml:space="preserve"> </w:t>
      </w:r>
      <w:r w:rsidR="009B6859">
        <w:rPr>
          <w:lang w:val="en-GB" w:eastAsia="ja-JP"/>
        </w:rPr>
        <w:t>provid</w:t>
      </w:r>
      <w:r w:rsidR="00113590">
        <w:rPr>
          <w:lang w:val="en-GB" w:eastAsia="ja-JP"/>
        </w:rPr>
        <w:t>ing</w:t>
      </w:r>
      <w:r w:rsidR="009B6859">
        <w:rPr>
          <w:lang w:val="en-GB" w:eastAsia="ja-JP"/>
        </w:rPr>
        <w:t xml:space="preserve"> more clarity and framework to how councils used this </w:t>
      </w:r>
      <w:r w:rsidR="00113590">
        <w:rPr>
          <w:lang w:val="en-GB" w:eastAsia="ja-JP"/>
        </w:rPr>
        <w:t xml:space="preserve">cost-recovery </w:t>
      </w:r>
      <w:r w:rsidR="009B6859">
        <w:rPr>
          <w:lang w:val="en-GB" w:eastAsia="ja-JP"/>
        </w:rPr>
        <w:t xml:space="preserve">tool. </w:t>
      </w:r>
    </w:p>
    <w:p w14:paraId="0B7711CF" w14:textId="4ED37622" w:rsidR="009B6859" w:rsidRDefault="006B615B" w:rsidP="00B32926">
      <w:pPr>
        <w:rPr>
          <w:lang w:val="en-GB" w:eastAsia="ja-JP"/>
        </w:rPr>
      </w:pPr>
      <w:r>
        <w:rPr>
          <w:lang w:val="en-GB" w:eastAsia="ja-JP"/>
        </w:rPr>
        <w:t xml:space="preserve">The DC purpose was inserted as </w:t>
      </w:r>
      <w:r w:rsidR="009B6859">
        <w:rPr>
          <w:lang w:val="en-GB" w:eastAsia="ja-JP"/>
        </w:rPr>
        <w:t>Section 1</w:t>
      </w:r>
      <w:r w:rsidR="00627B3B">
        <w:rPr>
          <w:lang w:val="en-GB" w:eastAsia="ja-JP"/>
        </w:rPr>
        <w:t xml:space="preserve">97AA </w:t>
      </w:r>
      <w:r>
        <w:rPr>
          <w:lang w:val="en-GB" w:eastAsia="ja-JP"/>
        </w:rPr>
        <w:t>of the</w:t>
      </w:r>
      <w:r w:rsidR="00627B3B">
        <w:rPr>
          <w:lang w:val="en-GB" w:eastAsia="ja-JP"/>
        </w:rPr>
        <w:t xml:space="preserve"> LGA</w:t>
      </w:r>
      <w:r w:rsidR="009B6859">
        <w:rPr>
          <w:lang w:val="en-GB" w:eastAsia="ja-JP"/>
        </w:rPr>
        <w:t>, stating that the purpose of development contributions is to:</w:t>
      </w:r>
    </w:p>
    <w:p w14:paraId="62B8D548" w14:textId="0522CE69" w:rsidR="009B6859" w:rsidRPr="00DA0F2E" w:rsidRDefault="009B6859" w:rsidP="009B6859">
      <w:pPr>
        <w:ind w:left="567"/>
        <w:rPr>
          <w:rFonts w:cs="Open Sans"/>
          <w:i/>
          <w:color w:val="000000" w:themeColor="text1"/>
          <w:lang w:val="en-GB" w:eastAsia="zh-TW"/>
        </w:rPr>
      </w:pPr>
      <w:r w:rsidRPr="00DA0F2E">
        <w:rPr>
          <w:rFonts w:cs="Open Sans"/>
          <w:i/>
          <w:color w:val="000000" w:themeColor="text1"/>
          <w:lang w:val="en-GB" w:eastAsia="zh-TW"/>
        </w:rPr>
        <w:t>“</w:t>
      </w:r>
      <w:r w:rsidRPr="00DA0F2E">
        <w:rPr>
          <w:rFonts w:eastAsiaTheme="minorHAnsi" w:cs="Open Sans"/>
          <w:i/>
          <w:color w:val="000000" w:themeColor="text1"/>
          <w:lang w:val="en-GB" w:eastAsia="zh-TW"/>
        </w:rPr>
        <w:t>enable territorial authorities to recover from those persons undertaking development</w:t>
      </w:r>
      <w:r w:rsidRPr="00DA0F2E">
        <w:rPr>
          <w:rFonts w:cs="Open Sans"/>
          <w:i/>
          <w:color w:val="000000" w:themeColor="text1"/>
          <w:lang w:val="en-GB" w:eastAsia="zh-TW"/>
        </w:rPr>
        <w:t xml:space="preserve"> a fair, equitable, and propor</w:t>
      </w:r>
      <w:r w:rsidRPr="00DA0F2E">
        <w:rPr>
          <w:rFonts w:eastAsiaTheme="minorHAnsi" w:cs="Open Sans"/>
          <w:i/>
          <w:color w:val="000000" w:themeColor="text1"/>
          <w:lang w:val="en-GB" w:eastAsia="zh-TW"/>
        </w:rPr>
        <w:t>tionate portion of the total cos</w:t>
      </w:r>
      <w:r w:rsidRPr="00DA0F2E">
        <w:rPr>
          <w:rFonts w:cs="Open Sans"/>
          <w:i/>
          <w:color w:val="000000" w:themeColor="text1"/>
          <w:lang w:val="en-GB" w:eastAsia="zh-TW"/>
        </w:rPr>
        <w:t>t of capital expenditure neces</w:t>
      </w:r>
      <w:r w:rsidRPr="00DA0F2E">
        <w:rPr>
          <w:rFonts w:eastAsiaTheme="minorHAnsi" w:cs="Open Sans"/>
          <w:i/>
          <w:color w:val="000000" w:themeColor="text1"/>
          <w:lang w:val="en-GB" w:eastAsia="zh-TW"/>
        </w:rPr>
        <w:t>sary to ser</w:t>
      </w:r>
      <w:r w:rsidRPr="00DA0F2E">
        <w:rPr>
          <w:rFonts w:cs="Open Sans"/>
          <w:i/>
          <w:color w:val="000000" w:themeColor="text1"/>
          <w:lang w:val="en-GB" w:eastAsia="zh-TW"/>
        </w:rPr>
        <w:t>vice growth over the long term.”</w:t>
      </w:r>
      <w:r w:rsidR="006E5ACC" w:rsidRPr="006E5ACC">
        <w:rPr>
          <w:rFonts w:cs="Open Sans"/>
          <w:i/>
          <w:color w:val="000000" w:themeColor="text1"/>
          <w:lang w:val="en-GB" w:eastAsia="zh-TW"/>
        </w:rPr>
        <w:t xml:space="preserve"> </w:t>
      </w:r>
      <w:r w:rsidRPr="006E5ACC">
        <w:rPr>
          <w:rStyle w:val="FootnoteReference"/>
          <w:rFonts w:cs="Open Sans"/>
          <w:i/>
          <w:color w:val="000000" w:themeColor="text1"/>
          <w:sz w:val="20"/>
          <w:lang w:val="en-GB" w:eastAsia="zh-TW"/>
        </w:rPr>
        <w:footnoteReference w:id="9"/>
      </w:r>
    </w:p>
    <w:p w14:paraId="4AE5B5CA" w14:textId="01FD95B2" w:rsidR="00025433" w:rsidRPr="00783FFF" w:rsidRDefault="00025433" w:rsidP="00685CBC">
      <w:pPr>
        <w:spacing w:after="240"/>
        <w:rPr>
          <w:lang w:val="en-GB" w:eastAsia="ja-JP"/>
        </w:rPr>
      </w:pPr>
      <w:r w:rsidRPr="00783FFF">
        <w:rPr>
          <w:lang w:val="en-GB" w:eastAsia="ja-JP"/>
        </w:rPr>
        <w:t>Section 197AB of the amended LGA states that all territorial authorities</w:t>
      </w:r>
      <w:r w:rsidR="00B2744E">
        <w:rPr>
          <w:lang w:val="en-GB" w:eastAsia="ja-JP"/>
        </w:rPr>
        <w:t xml:space="preserve"> must</w:t>
      </w:r>
      <w:r w:rsidRPr="00783FFF">
        <w:rPr>
          <w:lang w:val="en-GB" w:eastAsia="ja-JP"/>
        </w:rPr>
        <w:t xml:space="preserve"> </w:t>
      </w:r>
      <w:proofErr w:type="gramStart"/>
      <w:r w:rsidRPr="00783FFF">
        <w:rPr>
          <w:lang w:val="en-GB" w:eastAsia="ja-JP"/>
        </w:rPr>
        <w:t>take into account</w:t>
      </w:r>
      <w:proofErr w:type="gramEnd"/>
      <w:r w:rsidRPr="00783FFF">
        <w:rPr>
          <w:lang w:val="en-GB" w:eastAsia="ja-JP"/>
        </w:rPr>
        <w:t xml:space="preserve"> the following set of principles when preparing a development contributions policy: </w:t>
      </w:r>
    </w:p>
    <w:p w14:paraId="4E128A77" w14:textId="16C1AAB9" w:rsidR="00025433" w:rsidRPr="00324F64" w:rsidRDefault="00025433" w:rsidP="00F0453A">
      <w:pPr>
        <w:ind w:left="567"/>
        <w:rPr>
          <w:rFonts w:cs="Open Sans"/>
          <w:i/>
          <w:color w:val="000000" w:themeColor="text1"/>
          <w:lang w:val="en-GB" w:eastAsia="zh-TW"/>
        </w:rPr>
      </w:pPr>
      <w:r w:rsidRPr="00324F64">
        <w:rPr>
          <w:b/>
          <w:i/>
          <w:color w:val="183F7C"/>
          <w:lang w:val="en-GB" w:eastAsia="ja-JP"/>
        </w:rPr>
        <w:t xml:space="preserve">Principle a: </w:t>
      </w:r>
      <w:r w:rsidR="00A20D0E" w:rsidRPr="00324F64">
        <w:rPr>
          <w:rFonts w:cs="Open Sans"/>
          <w:i/>
          <w:color w:val="000000" w:themeColor="text1"/>
          <w:lang w:val="en-GB" w:eastAsia="zh-TW"/>
        </w:rPr>
        <w:t>D</w:t>
      </w:r>
      <w:r w:rsidRPr="00324F64">
        <w:rPr>
          <w:rFonts w:cs="Open Sans"/>
          <w:i/>
          <w:color w:val="000000" w:themeColor="text1"/>
          <w:lang w:val="en-GB" w:eastAsia="zh-TW"/>
        </w:rPr>
        <w:t>evelopment contributions should only be required if the effects or cumulative effects of developments will create or have created a requirement for the territorial authority to provide or to have provided new or additional assets or assets of increased capacity;</w:t>
      </w:r>
    </w:p>
    <w:p w14:paraId="099A9BBA" w14:textId="376A1DA0" w:rsidR="00B21B24" w:rsidRPr="00324F64" w:rsidRDefault="00A20D0E" w:rsidP="00F0453A">
      <w:pPr>
        <w:ind w:left="567"/>
        <w:rPr>
          <w:rFonts w:cs="Open Sans"/>
          <w:i/>
          <w:color w:val="000000" w:themeColor="text1"/>
          <w:lang w:val="en-GB" w:eastAsia="zh-TW"/>
        </w:rPr>
      </w:pPr>
      <w:r w:rsidRPr="00324F64">
        <w:rPr>
          <w:b/>
          <w:i/>
          <w:color w:val="183F7C"/>
          <w:lang w:val="en-GB" w:eastAsia="ja-JP"/>
        </w:rPr>
        <w:t xml:space="preserve">Principle b: </w:t>
      </w:r>
      <w:r w:rsidR="00B21B24" w:rsidRPr="00324F64">
        <w:rPr>
          <w:rFonts w:cs="Open Sans"/>
          <w:i/>
          <w:color w:val="000000" w:themeColor="text1"/>
          <w:lang w:val="en-GB" w:eastAsia="zh-TW"/>
        </w:rPr>
        <w:t>development contributions should be determined in a manner that is generally consistent with the capacity life of the assets for which they are intended to be used and in a way that avoids over-recovery of costs allocated to development contribution funding;</w:t>
      </w:r>
    </w:p>
    <w:p w14:paraId="2AD9FBE3" w14:textId="77777777" w:rsidR="00B21B24" w:rsidRPr="00324F64" w:rsidRDefault="00B21B24" w:rsidP="00F0453A">
      <w:pPr>
        <w:ind w:left="567"/>
        <w:rPr>
          <w:rFonts w:cs="Open Sans"/>
          <w:i/>
          <w:color w:val="000000" w:themeColor="text1"/>
          <w:lang w:val="en-GB" w:eastAsia="zh-TW"/>
        </w:rPr>
      </w:pPr>
      <w:r w:rsidRPr="00324F64">
        <w:rPr>
          <w:b/>
          <w:i/>
          <w:color w:val="183F7C"/>
          <w:lang w:val="en-GB" w:eastAsia="ja-JP"/>
        </w:rPr>
        <w:lastRenderedPageBreak/>
        <w:t xml:space="preserve">Principle c: </w:t>
      </w:r>
      <w:r w:rsidRPr="00324F64">
        <w:rPr>
          <w:rFonts w:cs="Open Sans"/>
          <w:i/>
          <w:color w:val="000000" w:themeColor="text1"/>
          <w:lang w:val="en-GB" w:eastAsia="zh-TW"/>
        </w:rPr>
        <w:t>cost allocations used to establish development contributions should be determined according to, and be proportional to, the persons who will benefit from the assets to be provided (including the community as a whole) as well as those who create the need for those assets;</w:t>
      </w:r>
    </w:p>
    <w:p w14:paraId="1A1EED10" w14:textId="33C0B01C" w:rsidR="00B21B24" w:rsidRPr="00324F64" w:rsidRDefault="00B21B24" w:rsidP="00F0453A">
      <w:pPr>
        <w:spacing w:after="120"/>
        <w:ind w:left="567"/>
        <w:rPr>
          <w:rFonts w:cs="Open Sans"/>
          <w:i/>
          <w:color w:val="000000" w:themeColor="text1"/>
          <w:lang w:val="en-GB" w:eastAsia="zh-TW"/>
        </w:rPr>
      </w:pPr>
      <w:r w:rsidRPr="00324F64">
        <w:rPr>
          <w:b/>
          <w:i/>
          <w:color w:val="183F7C"/>
          <w:lang w:val="en-GB" w:eastAsia="ja-JP"/>
        </w:rPr>
        <w:t>Principle d:</w:t>
      </w:r>
      <w:r w:rsidRPr="00324F64">
        <w:rPr>
          <w:rFonts w:cs="Open Sans"/>
          <w:i/>
          <w:color w:val="000000" w:themeColor="text1"/>
          <w:lang w:val="en-GB" w:eastAsia="zh-TW"/>
        </w:rPr>
        <w:t xml:space="preserve"> developm</w:t>
      </w:r>
      <w:r w:rsidR="00804665" w:rsidRPr="00324F64">
        <w:rPr>
          <w:rFonts w:cs="Open Sans"/>
          <w:i/>
          <w:color w:val="000000" w:themeColor="text1"/>
          <w:lang w:val="en-GB" w:eastAsia="zh-TW"/>
        </w:rPr>
        <w:t>ent contributions must be used:</w:t>
      </w:r>
    </w:p>
    <w:p w14:paraId="2F7931C4" w14:textId="77777777" w:rsidR="00B21B24" w:rsidRPr="00324F64" w:rsidRDefault="00B21B24" w:rsidP="00F0453A">
      <w:pPr>
        <w:pStyle w:val="BodyText"/>
        <w:spacing w:line="276" w:lineRule="auto"/>
        <w:ind w:left="567"/>
        <w:rPr>
          <w:rFonts w:ascii="Open Sans" w:eastAsia="MS Mincho" w:hAnsi="Open Sans" w:cstheme="minorBidi"/>
          <w:i/>
          <w:sz w:val="20"/>
          <w:szCs w:val="20"/>
          <w:lang w:val="en-GB" w:eastAsia="ja-JP"/>
        </w:rPr>
      </w:pPr>
      <w:r w:rsidRPr="00324F64">
        <w:rPr>
          <w:rFonts w:ascii="Open Sans" w:eastAsia="MS Mincho" w:hAnsi="Open Sans" w:cstheme="minorBidi"/>
          <w:i/>
          <w:sz w:val="20"/>
          <w:szCs w:val="20"/>
          <w:lang w:val="en-GB" w:eastAsia="ja-JP"/>
        </w:rPr>
        <w:t>(</w:t>
      </w:r>
      <w:proofErr w:type="spellStart"/>
      <w:r w:rsidRPr="00324F64">
        <w:rPr>
          <w:rFonts w:ascii="Open Sans" w:eastAsia="MS Mincho" w:hAnsi="Open Sans" w:cstheme="minorBidi"/>
          <w:i/>
          <w:sz w:val="20"/>
          <w:szCs w:val="20"/>
          <w:lang w:val="en-GB" w:eastAsia="ja-JP"/>
        </w:rPr>
        <w:t>i</w:t>
      </w:r>
      <w:proofErr w:type="spellEnd"/>
      <w:r w:rsidRPr="00324F64">
        <w:rPr>
          <w:rFonts w:ascii="Open Sans" w:eastAsia="MS Mincho" w:hAnsi="Open Sans" w:cstheme="minorBidi"/>
          <w:i/>
          <w:sz w:val="20"/>
          <w:szCs w:val="20"/>
          <w:lang w:val="en-GB" w:eastAsia="ja-JP"/>
        </w:rPr>
        <w:t xml:space="preserve">)  for or towards the purpose of the activity or the group of activities for which the contributions were required; and </w:t>
      </w:r>
    </w:p>
    <w:p w14:paraId="5776F375" w14:textId="16F86904" w:rsidR="00B21B24" w:rsidRPr="00324F64" w:rsidRDefault="00B21B24" w:rsidP="00F0453A">
      <w:pPr>
        <w:pStyle w:val="BodyText"/>
        <w:spacing w:line="276" w:lineRule="auto"/>
        <w:ind w:left="567"/>
        <w:rPr>
          <w:rFonts w:ascii="Open Sans" w:eastAsia="MS Mincho" w:hAnsi="Open Sans" w:cstheme="minorBidi"/>
          <w:i/>
          <w:sz w:val="20"/>
          <w:szCs w:val="20"/>
          <w:lang w:val="en-GB" w:eastAsia="ja-JP"/>
        </w:rPr>
      </w:pPr>
      <w:r w:rsidRPr="00324F64">
        <w:rPr>
          <w:rFonts w:ascii="Open Sans" w:eastAsia="MS Mincho" w:hAnsi="Open Sans" w:cstheme="minorBidi"/>
          <w:i/>
          <w:sz w:val="20"/>
          <w:szCs w:val="20"/>
          <w:lang w:val="en-GB" w:eastAsia="ja-JP"/>
        </w:rPr>
        <w:t>(ii)  for the benefit of the district or the part of the district that is identified in the development contributions policy in which the development contributions were required;</w:t>
      </w:r>
    </w:p>
    <w:p w14:paraId="655A7947" w14:textId="77777777" w:rsidR="00B21B24" w:rsidRPr="00324F64" w:rsidRDefault="00B21B24" w:rsidP="00F0453A">
      <w:pPr>
        <w:ind w:left="567"/>
        <w:rPr>
          <w:rFonts w:cs="Open Sans"/>
          <w:i/>
          <w:color w:val="000000" w:themeColor="text1"/>
          <w:lang w:val="en-GB" w:eastAsia="zh-TW"/>
        </w:rPr>
      </w:pPr>
      <w:r w:rsidRPr="00324F64">
        <w:rPr>
          <w:b/>
          <w:i/>
          <w:color w:val="183F7C"/>
          <w:lang w:val="en-GB" w:eastAsia="ja-JP"/>
        </w:rPr>
        <w:t>Principle e:</w:t>
      </w:r>
      <w:r w:rsidRPr="00324F64">
        <w:rPr>
          <w:rFonts w:cs="Open Sans"/>
          <w:i/>
          <w:color w:val="000000" w:themeColor="text1"/>
          <w:lang w:val="en-GB" w:eastAsia="zh-TW"/>
        </w:rPr>
        <w:t xml:space="preserve"> territorial authorities should make sufficient information available to demonstrate what development contributions are being used for and why they are being used;</w:t>
      </w:r>
    </w:p>
    <w:p w14:paraId="55E0C406" w14:textId="2934BC6C" w:rsidR="00D50C88" w:rsidRPr="00324F64" w:rsidRDefault="00D50C88" w:rsidP="00F0453A">
      <w:pPr>
        <w:ind w:left="567"/>
        <w:rPr>
          <w:rFonts w:cs="Open Sans"/>
          <w:i/>
          <w:color w:val="000000" w:themeColor="text1"/>
          <w:lang w:val="en-GB" w:eastAsia="zh-TW"/>
        </w:rPr>
      </w:pPr>
      <w:r w:rsidRPr="00324F64">
        <w:rPr>
          <w:b/>
          <w:i/>
          <w:color w:val="183F7C"/>
          <w:lang w:val="en-GB" w:eastAsia="ja-JP"/>
        </w:rPr>
        <w:t>P</w:t>
      </w:r>
      <w:r w:rsidR="002F464B" w:rsidRPr="00324F64">
        <w:rPr>
          <w:b/>
          <w:i/>
          <w:color w:val="183F7C"/>
          <w:lang w:val="en-GB" w:eastAsia="ja-JP"/>
        </w:rPr>
        <w:t xml:space="preserve">rinciple </w:t>
      </w:r>
      <w:r w:rsidR="00111F96" w:rsidRPr="00324F64">
        <w:rPr>
          <w:b/>
          <w:i/>
          <w:color w:val="183F7C"/>
          <w:lang w:val="en-GB" w:eastAsia="ja-JP"/>
        </w:rPr>
        <w:t xml:space="preserve">f: </w:t>
      </w:r>
      <w:r w:rsidRPr="00324F64">
        <w:rPr>
          <w:rFonts w:cs="Open Sans"/>
          <w:i/>
          <w:color w:val="000000" w:themeColor="text1"/>
          <w:lang w:val="en-GB" w:eastAsia="zh-TW"/>
        </w:rPr>
        <w:t>development contributions should be predictable and be consistent with the methodology and schedules of the territorial authority’s development contributions policy under sections 106, 201, and 202;</w:t>
      </w:r>
    </w:p>
    <w:p w14:paraId="519160E9" w14:textId="679A0169" w:rsidR="002F464B" w:rsidRPr="00324F64" w:rsidRDefault="002F464B" w:rsidP="00F0453A">
      <w:pPr>
        <w:spacing w:after="120"/>
        <w:ind w:left="567"/>
        <w:rPr>
          <w:rFonts w:cs="Open Sans"/>
          <w:i/>
          <w:color w:val="000000" w:themeColor="text1"/>
          <w:lang w:val="en-GB" w:eastAsia="zh-TW"/>
        </w:rPr>
      </w:pPr>
      <w:r w:rsidRPr="00324F64">
        <w:rPr>
          <w:b/>
          <w:i/>
          <w:color w:val="183F7C"/>
          <w:lang w:val="en-GB" w:eastAsia="ja-JP"/>
        </w:rPr>
        <w:t xml:space="preserve">Principle g: </w:t>
      </w:r>
      <w:r w:rsidRPr="00324F64">
        <w:rPr>
          <w:rFonts w:cs="Open Sans"/>
          <w:i/>
          <w:color w:val="000000" w:themeColor="text1"/>
          <w:lang w:val="en-GB" w:eastAsia="zh-TW"/>
        </w:rPr>
        <w:t>when calculating and requiring development contributions, territorial authorities may group together certain developments by geographic area or categor</w:t>
      </w:r>
      <w:r w:rsidR="00725042" w:rsidRPr="00324F64">
        <w:rPr>
          <w:rFonts w:cs="Open Sans"/>
          <w:i/>
          <w:color w:val="000000" w:themeColor="text1"/>
          <w:lang w:val="en-GB" w:eastAsia="zh-TW"/>
        </w:rPr>
        <w:t>ies of land use, provided that:</w:t>
      </w:r>
    </w:p>
    <w:p w14:paraId="513FA502" w14:textId="77777777" w:rsidR="002F464B" w:rsidRPr="00324F64" w:rsidRDefault="002F464B" w:rsidP="00F0453A">
      <w:pPr>
        <w:pStyle w:val="BodyText"/>
        <w:spacing w:line="276" w:lineRule="auto"/>
        <w:ind w:left="567"/>
        <w:rPr>
          <w:rFonts w:ascii="Open Sans" w:eastAsia="MS Mincho" w:hAnsi="Open Sans" w:cstheme="minorBidi"/>
          <w:i/>
          <w:sz w:val="20"/>
          <w:szCs w:val="20"/>
          <w:lang w:val="en-GB" w:eastAsia="ja-JP"/>
        </w:rPr>
      </w:pPr>
      <w:r w:rsidRPr="00324F64">
        <w:rPr>
          <w:rFonts w:ascii="Open Sans" w:eastAsia="MS Mincho" w:hAnsi="Open Sans" w:cstheme="minorBidi"/>
          <w:i/>
          <w:sz w:val="20"/>
          <w:szCs w:val="20"/>
          <w:lang w:val="en-GB" w:eastAsia="ja-JP"/>
        </w:rPr>
        <w:t>(</w:t>
      </w:r>
      <w:proofErr w:type="spellStart"/>
      <w:r w:rsidRPr="00324F64">
        <w:rPr>
          <w:rFonts w:ascii="Open Sans" w:eastAsia="MS Mincho" w:hAnsi="Open Sans" w:cstheme="minorBidi"/>
          <w:i/>
          <w:sz w:val="20"/>
          <w:szCs w:val="20"/>
          <w:lang w:val="en-GB" w:eastAsia="ja-JP"/>
        </w:rPr>
        <w:t>i</w:t>
      </w:r>
      <w:proofErr w:type="spellEnd"/>
      <w:r w:rsidRPr="00324F64">
        <w:rPr>
          <w:rFonts w:ascii="Open Sans" w:eastAsia="MS Mincho" w:hAnsi="Open Sans" w:cstheme="minorBidi"/>
          <w:i/>
          <w:sz w:val="20"/>
          <w:szCs w:val="20"/>
          <w:lang w:val="en-GB" w:eastAsia="ja-JP"/>
        </w:rPr>
        <w:t xml:space="preserve">)  the grouping is done in a manner that balances practical and administrative efficiencies with considerations of fairness and equity; and </w:t>
      </w:r>
    </w:p>
    <w:p w14:paraId="06DBEC56" w14:textId="781D9C35" w:rsidR="009B56F5" w:rsidRPr="00324F64" w:rsidRDefault="002F464B" w:rsidP="00685CBC">
      <w:pPr>
        <w:pStyle w:val="BodyText"/>
        <w:spacing w:after="240" w:line="276" w:lineRule="auto"/>
        <w:ind w:left="567"/>
        <w:rPr>
          <w:rFonts w:ascii="Open Sans" w:eastAsia="MS Mincho" w:hAnsi="Open Sans" w:cstheme="minorBidi"/>
          <w:i/>
          <w:sz w:val="20"/>
          <w:szCs w:val="20"/>
          <w:lang w:val="en-GB" w:eastAsia="ja-JP"/>
        </w:rPr>
      </w:pPr>
      <w:r w:rsidRPr="00324F64">
        <w:rPr>
          <w:rFonts w:ascii="Open Sans" w:eastAsia="MS Mincho" w:hAnsi="Open Sans" w:cstheme="minorBidi"/>
          <w:i/>
          <w:sz w:val="20"/>
          <w:szCs w:val="20"/>
          <w:lang w:val="en-GB" w:eastAsia="ja-JP"/>
        </w:rPr>
        <w:t>(ii)  grouping by geographic area avoids grouping across an entire district wherever practical.</w:t>
      </w:r>
    </w:p>
    <w:p w14:paraId="3B06F216" w14:textId="59748B06" w:rsidR="009B56F5" w:rsidRDefault="009B56F5" w:rsidP="00685CBC">
      <w:pPr>
        <w:spacing w:after="240"/>
        <w:rPr>
          <w:lang w:val="en-GB" w:eastAsia="zh-TW"/>
        </w:rPr>
      </w:pPr>
      <w:r>
        <w:rPr>
          <w:lang w:val="en-GB" w:eastAsia="zh-TW"/>
        </w:rPr>
        <w:t>Upon making the 2014 amendments to the LGA</w:t>
      </w:r>
      <w:r w:rsidR="004B0949">
        <w:rPr>
          <w:lang w:val="en-GB" w:eastAsia="zh-TW"/>
        </w:rPr>
        <w:t>, the DIA released a number of fact s</w:t>
      </w:r>
      <w:r>
        <w:rPr>
          <w:lang w:val="en-GB" w:eastAsia="zh-TW"/>
        </w:rPr>
        <w:t xml:space="preserve">heets explaining the new changes, including a sheet relating to the purpose and principles clauses. </w:t>
      </w:r>
      <w:r w:rsidR="00AF1F9A">
        <w:rPr>
          <w:lang w:val="en-GB" w:eastAsia="zh-TW"/>
        </w:rPr>
        <w:t>The</w:t>
      </w:r>
      <w:r w:rsidR="004B0949">
        <w:rPr>
          <w:lang w:val="en-GB" w:eastAsia="zh-TW"/>
        </w:rPr>
        <w:t xml:space="preserve"> f</w:t>
      </w:r>
      <w:r w:rsidR="00F53EAA">
        <w:rPr>
          <w:lang w:val="en-GB" w:eastAsia="zh-TW"/>
        </w:rPr>
        <w:t>act sheet</w:t>
      </w:r>
      <w:r>
        <w:rPr>
          <w:lang w:val="en-GB" w:eastAsia="zh-TW"/>
        </w:rPr>
        <w:t xml:space="preserve"> states that these additions have been made based on the following points:</w:t>
      </w:r>
    </w:p>
    <w:p w14:paraId="14820844" w14:textId="77777777" w:rsidR="009B56F5" w:rsidRDefault="009B56F5" w:rsidP="00685CBC">
      <w:pPr>
        <w:pStyle w:val="ListParagraph"/>
        <w:numPr>
          <w:ilvl w:val="0"/>
          <w:numId w:val="12"/>
        </w:numPr>
        <w:spacing w:after="120" w:line="276" w:lineRule="auto"/>
        <w:ind w:left="714" w:hanging="357"/>
        <w:contextualSpacing w:val="0"/>
        <w:rPr>
          <w:lang w:val="en-GB" w:eastAsia="zh-TW"/>
        </w:rPr>
      </w:pPr>
      <w:r>
        <w:rPr>
          <w:lang w:val="en-GB" w:eastAsia="zh-TW"/>
        </w:rPr>
        <w:t>the act previously contained no statement of why DCs existed and what their purpose was, which caused councils to form varying views on what DCs were for, and subsequent variation in practice and outcomes;</w:t>
      </w:r>
    </w:p>
    <w:p w14:paraId="5B83DD1C" w14:textId="77777777" w:rsidR="009B56F5" w:rsidRDefault="009B56F5" w:rsidP="00685CBC">
      <w:pPr>
        <w:pStyle w:val="ListParagraph"/>
        <w:numPr>
          <w:ilvl w:val="0"/>
          <w:numId w:val="12"/>
        </w:numPr>
        <w:spacing w:after="120" w:line="276" w:lineRule="auto"/>
        <w:ind w:left="714" w:hanging="357"/>
        <w:contextualSpacing w:val="0"/>
        <w:rPr>
          <w:lang w:val="en-GB" w:eastAsia="zh-TW"/>
        </w:rPr>
      </w:pPr>
      <w:r>
        <w:rPr>
          <w:lang w:val="en-GB" w:eastAsia="zh-TW"/>
        </w:rPr>
        <w:t>the principles ensure local councils develop and apply their policies on a more consistent, common basis of understanding; and</w:t>
      </w:r>
    </w:p>
    <w:p w14:paraId="6CB964C4" w14:textId="3ACC0660" w:rsidR="00C06F90" w:rsidRDefault="009B56F5" w:rsidP="00685CBC">
      <w:pPr>
        <w:pStyle w:val="ListParagraph"/>
        <w:numPr>
          <w:ilvl w:val="0"/>
          <w:numId w:val="12"/>
        </w:numPr>
        <w:spacing w:after="240" w:line="276" w:lineRule="auto"/>
        <w:ind w:left="714" w:hanging="357"/>
        <w:contextualSpacing w:val="0"/>
        <w:rPr>
          <w:lang w:val="en-GB" w:eastAsia="zh-TW"/>
        </w:rPr>
      </w:pPr>
      <w:r>
        <w:rPr>
          <w:lang w:val="en-GB" w:eastAsia="zh-TW"/>
        </w:rPr>
        <w:t xml:space="preserve">the principles provide direction as to how DCs are to be applied, and a reference point </w:t>
      </w:r>
      <w:r w:rsidR="00B2744E">
        <w:rPr>
          <w:lang w:val="en-GB" w:eastAsia="zh-TW"/>
        </w:rPr>
        <w:t>for</w:t>
      </w:r>
      <w:r>
        <w:rPr>
          <w:lang w:val="en-GB" w:eastAsia="zh-TW"/>
        </w:rPr>
        <w:t xml:space="preserve"> developers, commissioners and the courts </w:t>
      </w:r>
      <w:r w:rsidR="00B2744E">
        <w:rPr>
          <w:lang w:val="en-GB" w:eastAsia="zh-TW"/>
        </w:rPr>
        <w:t>to</w:t>
      </w:r>
      <w:r>
        <w:rPr>
          <w:lang w:val="en-GB" w:eastAsia="zh-TW"/>
        </w:rPr>
        <w:t xml:space="preserve"> test appropriateness of DC policies</w:t>
      </w:r>
      <w:r w:rsidR="00B2744E">
        <w:rPr>
          <w:lang w:val="en-GB" w:eastAsia="zh-TW"/>
        </w:rPr>
        <w:t xml:space="preserve"> against</w:t>
      </w:r>
      <w:r>
        <w:rPr>
          <w:lang w:val="en-GB" w:eastAsia="zh-TW"/>
        </w:rPr>
        <w:t>.</w:t>
      </w:r>
    </w:p>
    <w:p w14:paraId="14894E49" w14:textId="2D170068" w:rsidR="009B56F5" w:rsidRDefault="009B56F5" w:rsidP="00A6288E">
      <w:pPr>
        <w:rPr>
          <w:lang w:val="en-GB" w:eastAsia="zh-TW"/>
        </w:rPr>
      </w:pPr>
      <w:r w:rsidRPr="00C06F90">
        <w:rPr>
          <w:lang w:val="en-GB" w:eastAsia="zh-TW"/>
        </w:rPr>
        <w:t>The fac</w:t>
      </w:r>
      <w:r w:rsidR="00F9679D">
        <w:rPr>
          <w:lang w:val="en-GB" w:eastAsia="zh-TW"/>
        </w:rPr>
        <w:t>t sheet states that in practice</w:t>
      </w:r>
      <w:r w:rsidRPr="00C06F90">
        <w:rPr>
          <w:lang w:val="en-GB" w:eastAsia="zh-TW"/>
        </w:rPr>
        <w:t xml:space="preserve"> this means that the duty to “take into account” the principles requires territorial authorities to activel</w:t>
      </w:r>
      <w:r w:rsidR="00F53EAA">
        <w:rPr>
          <w:lang w:val="en-GB" w:eastAsia="zh-TW"/>
        </w:rPr>
        <w:t xml:space="preserve">y consider whether and how the principles </w:t>
      </w:r>
      <w:r w:rsidRPr="00C06F90">
        <w:rPr>
          <w:lang w:val="en-GB" w:eastAsia="zh-TW"/>
        </w:rPr>
        <w:t>will be applied while allowing some flexibility to determine how this will be done.</w:t>
      </w:r>
      <w:r w:rsidRPr="00A6288E">
        <w:rPr>
          <w:vertAlign w:val="superscript"/>
        </w:rPr>
        <w:footnoteReference w:id="10"/>
      </w:r>
    </w:p>
    <w:p w14:paraId="358262DC" w14:textId="4071B972" w:rsidR="002678B1" w:rsidRPr="00C06F90" w:rsidRDefault="00C524A2" w:rsidP="00C524A2">
      <w:pPr>
        <w:pStyle w:val="Heading1"/>
      </w:pPr>
      <w:bookmarkStart w:id="10" w:name="_Toc533411195"/>
      <w:r w:rsidRPr="008C75D3">
        <w:lastRenderedPageBreak/>
        <w:drawing>
          <wp:anchor distT="0" distB="0" distL="114300" distR="114300" simplePos="0" relativeHeight="251763712" behindDoc="1" locked="0" layoutInCell="1" allowOverlap="1" wp14:anchorId="6809F47C" wp14:editId="384AB369">
            <wp:simplePos x="0" y="0"/>
            <wp:positionH relativeFrom="column">
              <wp:posOffset>0</wp:posOffset>
            </wp:positionH>
            <wp:positionV relativeFrom="paragraph">
              <wp:posOffset>498128</wp:posOffset>
            </wp:positionV>
            <wp:extent cx="8779510" cy="45085"/>
            <wp:effectExtent l="0" t="0" r="889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779510" cy="45085"/>
                    </a:xfrm>
                    <a:prstGeom prst="rect">
                      <a:avLst/>
                    </a:prstGeom>
                  </pic:spPr>
                </pic:pic>
              </a:graphicData>
            </a:graphic>
            <wp14:sizeRelH relativeFrom="page">
              <wp14:pctWidth>0</wp14:pctWidth>
            </wp14:sizeRelH>
            <wp14:sizeRelV relativeFrom="page">
              <wp14:pctHeight>0</wp14:pctHeight>
            </wp14:sizeRelV>
          </wp:anchor>
        </w:drawing>
      </w:r>
      <w:r>
        <w:t>The current level of DC charging</w:t>
      </w:r>
      <w:bookmarkEnd w:id="10"/>
    </w:p>
    <w:p w14:paraId="09744146" w14:textId="246DA49F" w:rsidR="00FC59C2" w:rsidRDefault="00A514B7" w:rsidP="00A514B7">
      <w:pPr>
        <w:rPr>
          <w:lang w:val="en-GB" w:eastAsia="zh-TW"/>
        </w:rPr>
      </w:pPr>
      <w:r>
        <w:rPr>
          <w:lang w:val="en-GB" w:eastAsia="zh-TW"/>
        </w:rPr>
        <w:t xml:space="preserve">Four years after the </w:t>
      </w:r>
      <w:r w:rsidR="005A18DA">
        <w:rPr>
          <w:lang w:val="en-GB" w:eastAsia="zh-TW"/>
        </w:rPr>
        <w:t xml:space="preserve">2014 </w:t>
      </w:r>
      <w:r w:rsidR="00627B3B">
        <w:rPr>
          <w:lang w:val="en-GB" w:eastAsia="zh-TW"/>
        </w:rPr>
        <w:t>amendment of the LGA</w:t>
      </w:r>
      <w:r>
        <w:rPr>
          <w:lang w:val="en-GB" w:eastAsia="zh-TW"/>
        </w:rPr>
        <w:t>, it seems appropriate to</w:t>
      </w:r>
      <w:r w:rsidR="00470118">
        <w:rPr>
          <w:lang w:val="en-GB" w:eastAsia="zh-TW"/>
        </w:rPr>
        <w:t xml:space="preserve"> review the DC charging system</w:t>
      </w:r>
      <w:r w:rsidR="00830713">
        <w:rPr>
          <w:lang w:val="en-GB" w:eastAsia="zh-TW"/>
        </w:rPr>
        <w:t>,</w:t>
      </w:r>
      <w:r w:rsidR="00470118">
        <w:rPr>
          <w:lang w:val="en-GB" w:eastAsia="zh-TW"/>
        </w:rPr>
        <w:t xml:space="preserve"> in particular the extent to which</w:t>
      </w:r>
      <w:r>
        <w:rPr>
          <w:lang w:val="en-GB" w:eastAsia="zh-TW"/>
        </w:rPr>
        <w:t xml:space="preserve"> the </w:t>
      </w:r>
      <w:r w:rsidR="00A6288E">
        <w:rPr>
          <w:lang w:val="en-GB" w:eastAsia="zh-TW"/>
        </w:rPr>
        <w:t xml:space="preserve">legislated </w:t>
      </w:r>
      <w:r>
        <w:rPr>
          <w:lang w:val="en-GB" w:eastAsia="zh-TW"/>
        </w:rPr>
        <w:t>DC purpose and principles</w:t>
      </w:r>
      <w:r w:rsidR="00470118">
        <w:rPr>
          <w:lang w:val="en-GB" w:eastAsia="zh-TW"/>
        </w:rPr>
        <w:t xml:space="preserve"> are being followed by councils.</w:t>
      </w:r>
    </w:p>
    <w:p w14:paraId="4CAB5807" w14:textId="77777777" w:rsidR="00830713" w:rsidRDefault="00470118" w:rsidP="00A514B7">
      <w:pPr>
        <w:rPr>
          <w:lang w:val="en-GB" w:eastAsia="zh-TW"/>
        </w:rPr>
      </w:pPr>
      <w:r>
        <w:rPr>
          <w:lang w:val="en-GB" w:eastAsia="zh-TW"/>
        </w:rPr>
        <w:t>In this report we first analyse</w:t>
      </w:r>
      <w:r w:rsidR="00F51EBC">
        <w:rPr>
          <w:lang w:val="en-GB" w:eastAsia="zh-TW"/>
        </w:rPr>
        <w:t xml:space="preserve"> the </w:t>
      </w:r>
      <w:r>
        <w:rPr>
          <w:lang w:val="en-GB" w:eastAsia="zh-TW"/>
        </w:rPr>
        <w:t>growth</w:t>
      </w:r>
      <w:r w:rsidR="004256C5">
        <w:rPr>
          <w:lang w:val="en-GB" w:eastAsia="zh-TW"/>
        </w:rPr>
        <w:t xml:space="preserve"> in</w:t>
      </w:r>
      <w:r w:rsidR="001C7E7D">
        <w:rPr>
          <w:lang w:val="en-GB" w:eastAsia="zh-TW"/>
        </w:rPr>
        <w:t xml:space="preserve"> DC charging since it</w:t>
      </w:r>
      <w:r w:rsidR="00136CE8">
        <w:rPr>
          <w:lang w:val="en-GB" w:eastAsia="zh-TW"/>
        </w:rPr>
        <w:t>s introduction in 2002</w:t>
      </w:r>
      <w:r w:rsidR="001C7E7D">
        <w:rPr>
          <w:lang w:val="en-GB" w:eastAsia="zh-TW"/>
        </w:rPr>
        <w:t xml:space="preserve">. </w:t>
      </w:r>
    </w:p>
    <w:p w14:paraId="01EFB709" w14:textId="645CEBF1" w:rsidR="008A7FC0" w:rsidRDefault="00F51EBC" w:rsidP="00A514B7">
      <w:pPr>
        <w:rPr>
          <w:lang w:val="en-GB" w:eastAsia="zh-TW"/>
        </w:rPr>
      </w:pPr>
      <w:r>
        <w:rPr>
          <w:lang w:val="en-GB" w:eastAsia="zh-TW"/>
        </w:rPr>
        <w:t>Unfortunately,</w:t>
      </w:r>
      <w:r w:rsidR="00470118">
        <w:rPr>
          <w:lang w:val="en-GB" w:eastAsia="zh-TW"/>
        </w:rPr>
        <w:t xml:space="preserve"> the</w:t>
      </w:r>
      <w:r>
        <w:rPr>
          <w:lang w:val="en-GB" w:eastAsia="zh-TW"/>
        </w:rPr>
        <w:t xml:space="preserve"> available data from Statistics NZ </w:t>
      </w:r>
      <w:r w:rsidR="008A7FC0">
        <w:rPr>
          <w:lang w:val="en-GB" w:eastAsia="zh-TW"/>
        </w:rPr>
        <w:t>combines DCs and FCs</w:t>
      </w:r>
      <w:r w:rsidR="005A21EF">
        <w:rPr>
          <w:lang w:val="en-GB" w:eastAsia="zh-TW"/>
        </w:rPr>
        <w:t xml:space="preserve">, </w:t>
      </w:r>
      <w:r w:rsidR="008A7FC0">
        <w:rPr>
          <w:lang w:val="en-GB" w:eastAsia="zh-TW"/>
        </w:rPr>
        <w:t xml:space="preserve">which limits our ability to </w:t>
      </w:r>
      <w:r w:rsidR="00136CE8">
        <w:rPr>
          <w:lang w:val="en-GB" w:eastAsia="zh-TW"/>
        </w:rPr>
        <w:t xml:space="preserve">solely </w:t>
      </w:r>
      <w:r w:rsidR="008A7FC0">
        <w:rPr>
          <w:lang w:val="en-GB" w:eastAsia="zh-TW"/>
        </w:rPr>
        <w:t xml:space="preserve">view </w:t>
      </w:r>
      <w:r w:rsidR="00136CE8">
        <w:rPr>
          <w:lang w:val="en-GB" w:eastAsia="zh-TW"/>
        </w:rPr>
        <w:t xml:space="preserve">the growth in DC charging. </w:t>
      </w:r>
      <w:r w:rsidR="008A7FC0">
        <w:rPr>
          <w:lang w:val="en-GB" w:eastAsia="zh-TW"/>
        </w:rPr>
        <w:t>Figure 1 below illustrates the total D</w:t>
      </w:r>
      <w:r w:rsidR="005A21EF">
        <w:rPr>
          <w:lang w:val="en-GB" w:eastAsia="zh-TW"/>
        </w:rPr>
        <w:t>C</w:t>
      </w:r>
      <w:r w:rsidR="008A7FC0">
        <w:rPr>
          <w:lang w:val="en-GB" w:eastAsia="zh-TW"/>
        </w:rPr>
        <w:t xml:space="preserve"> and FC income of all local councils in New Zealand since 2003. </w:t>
      </w:r>
    </w:p>
    <w:p w14:paraId="6CEF90AD" w14:textId="05C5D9BB" w:rsidR="007774F9" w:rsidRPr="00403214" w:rsidRDefault="00741C09" w:rsidP="00403214">
      <w:pPr>
        <w:pStyle w:val="Caption"/>
        <w:spacing w:after="0"/>
        <w:jc w:val="left"/>
        <w:rPr>
          <w:sz w:val="19"/>
          <w:szCs w:val="19"/>
        </w:rPr>
      </w:pPr>
      <w:bookmarkStart w:id="11" w:name="_Toc533411215"/>
      <w:r w:rsidRPr="00403214">
        <w:rPr>
          <w:sz w:val="19"/>
          <w:szCs w:val="19"/>
        </w:rPr>
        <w:t xml:space="preserve">Figure </w:t>
      </w:r>
      <w:r w:rsidR="00616BAD" w:rsidRPr="00403214">
        <w:rPr>
          <w:noProof/>
          <w:sz w:val="19"/>
          <w:szCs w:val="19"/>
        </w:rPr>
        <w:fldChar w:fldCharType="begin"/>
      </w:r>
      <w:r w:rsidR="00616BAD" w:rsidRPr="00403214">
        <w:rPr>
          <w:noProof/>
          <w:sz w:val="19"/>
          <w:szCs w:val="19"/>
        </w:rPr>
        <w:instrText xml:space="preserve"> SEQ Figure \* ARABIC </w:instrText>
      </w:r>
      <w:r w:rsidR="00616BAD" w:rsidRPr="00403214">
        <w:rPr>
          <w:noProof/>
          <w:sz w:val="19"/>
          <w:szCs w:val="19"/>
        </w:rPr>
        <w:fldChar w:fldCharType="separate"/>
      </w:r>
      <w:r w:rsidR="0034416C">
        <w:rPr>
          <w:noProof/>
          <w:sz w:val="19"/>
          <w:szCs w:val="19"/>
        </w:rPr>
        <w:t>1</w:t>
      </w:r>
      <w:r w:rsidR="00616BAD" w:rsidRPr="00403214">
        <w:rPr>
          <w:noProof/>
          <w:sz w:val="19"/>
          <w:szCs w:val="19"/>
        </w:rPr>
        <w:fldChar w:fldCharType="end"/>
      </w:r>
      <w:r w:rsidRPr="00403214">
        <w:rPr>
          <w:sz w:val="19"/>
          <w:szCs w:val="19"/>
        </w:rPr>
        <w:t xml:space="preserve">: </w:t>
      </w:r>
      <w:r w:rsidR="00470118" w:rsidRPr="00403214">
        <w:rPr>
          <w:sz w:val="19"/>
          <w:szCs w:val="19"/>
        </w:rPr>
        <w:t xml:space="preserve">Total </w:t>
      </w:r>
      <w:r w:rsidR="00F0453A">
        <w:rPr>
          <w:sz w:val="19"/>
          <w:szCs w:val="19"/>
        </w:rPr>
        <w:t xml:space="preserve">local council </w:t>
      </w:r>
      <w:r w:rsidR="00470118" w:rsidRPr="00403214">
        <w:rPr>
          <w:sz w:val="19"/>
          <w:szCs w:val="19"/>
        </w:rPr>
        <w:t xml:space="preserve">development and </w:t>
      </w:r>
      <w:r w:rsidR="005A21EF">
        <w:rPr>
          <w:sz w:val="19"/>
          <w:szCs w:val="19"/>
        </w:rPr>
        <w:t>f</w:t>
      </w:r>
      <w:r w:rsidR="00470118" w:rsidRPr="00403214">
        <w:rPr>
          <w:sz w:val="19"/>
          <w:szCs w:val="19"/>
        </w:rPr>
        <w:t>inancial contributions</w:t>
      </w:r>
      <w:r w:rsidRPr="00403214">
        <w:rPr>
          <w:sz w:val="19"/>
          <w:szCs w:val="19"/>
        </w:rPr>
        <w:t xml:space="preserve"> </w:t>
      </w:r>
      <w:r w:rsidR="005F2929" w:rsidRPr="00403214">
        <w:rPr>
          <w:sz w:val="19"/>
          <w:szCs w:val="19"/>
        </w:rPr>
        <w:t>from 2013</w:t>
      </w:r>
      <w:bookmarkEnd w:id="11"/>
    </w:p>
    <w:p w14:paraId="058091D5" w14:textId="48DA9229" w:rsidR="00741C09" w:rsidRPr="00300B65" w:rsidRDefault="00300B65" w:rsidP="00A514B7">
      <w:pPr>
        <w:rPr>
          <w:lang w:val="en-GB" w:eastAsia="ja-JP"/>
        </w:rPr>
      </w:pPr>
      <w:r>
        <w:rPr>
          <w:noProof/>
          <w:lang w:val="en-GB" w:eastAsia="ja-JP"/>
        </w:rPr>
        <w:drawing>
          <wp:inline distT="0" distB="0" distL="0" distR="0" wp14:anchorId="04261CF8" wp14:editId="2F9744B4">
            <wp:extent cx="5127477" cy="292560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10-16 at 2.18.33 PM.jpeg"/>
                    <pic:cNvPicPr/>
                  </pic:nvPicPr>
                  <pic:blipFill>
                    <a:blip r:embed="rId24"/>
                    <a:stretch>
                      <a:fillRect/>
                    </a:stretch>
                  </pic:blipFill>
                  <pic:spPr>
                    <a:xfrm>
                      <a:off x="0" y="0"/>
                      <a:ext cx="5134536" cy="2929632"/>
                    </a:xfrm>
                    <a:prstGeom prst="rect">
                      <a:avLst/>
                    </a:prstGeom>
                  </pic:spPr>
                </pic:pic>
              </a:graphicData>
            </a:graphic>
          </wp:inline>
        </w:drawing>
      </w:r>
    </w:p>
    <w:p w14:paraId="6D45553B" w14:textId="633260E8" w:rsidR="005F2929" w:rsidRDefault="005F2929" w:rsidP="005F2929">
      <w:pPr>
        <w:spacing w:after="0"/>
        <w:rPr>
          <w:i/>
          <w:sz w:val="16"/>
          <w:szCs w:val="16"/>
          <w:lang w:val="en-GB" w:eastAsia="zh-TW"/>
        </w:rPr>
      </w:pPr>
      <w:r>
        <w:rPr>
          <w:i/>
          <w:sz w:val="16"/>
          <w:szCs w:val="16"/>
          <w:lang w:val="en-GB" w:eastAsia="zh-TW"/>
        </w:rPr>
        <w:t xml:space="preserve">Note: </w:t>
      </w:r>
      <w:r w:rsidR="00403214">
        <w:rPr>
          <w:i/>
          <w:sz w:val="16"/>
          <w:szCs w:val="16"/>
          <w:lang w:val="en-GB" w:eastAsia="zh-TW"/>
        </w:rPr>
        <w:t>In r</w:t>
      </w:r>
      <w:r>
        <w:rPr>
          <w:i/>
          <w:sz w:val="16"/>
          <w:szCs w:val="16"/>
          <w:lang w:val="en-GB" w:eastAsia="zh-TW"/>
        </w:rPr>
        <w:t>eal 2018 NZD</w:t>
      </w:r>
    </w:p>
    <w:p w14:paraId="5C79A90C" w14:textId="2DF00D92" w:rsidR="002C386E" w:rsidRPr="00435C0F" w:rsidRDefault="002C386E" w:rsidP="002C386E">
      <w:pPr>
        <w:rPr>
          <w:i/>
          <w:sz w:val="16"/>
          <w:szCs w:val="16"/>
          <w:lang w:val="en-GB" w:eastAsia="zh-TW"/>
        </w:rPr>
      </w:pPr>
      <w:r w:rsidRPr="00435C0F">
        <w:rPr>
          <w:i/>
          <w:sz w:val="16"/>
          <w:szCs w:val="16"/>
          <w:lang w:val="en-GB" w:eastAsia="zh-TW"/>
        </w:rPr>
        <w:t>Source: Statistics NZ and TDB analysis</w:t>
      </w:r>
    </w:p>
    <w:p w14:paraId="7C2F2525" w14:textId="76BBDE29" w:rsidR="002C386E" w:rsidRPr="002C386E" w:rsidRDefault="002C386E" w:rsidP="002C386E">
      <w:pPr>
        <w:rPr>
          <w:lang w:val="en-GB" w:eastAsia="zh-TW"/>
        </w:rPr>
      </w:pPr>
      <w:r>
        <w:rPr>
          <w:lang w:val="en-GB" w:eastAsia="zh-TW"/>
        </w:rPr>
        <w:t xml:space="preserve">Figure 1 </w:t>
      </w:r>
      <w:r w:rsidR="00AD7F2C">
        <w:rPr>
          <w:lang w:val="en-GB" w:eastAsia="zh-TW"/>
        </w:rPr>
        <w:t>shows an overall trend of growing use of D</w:t>
      </w:r>
      <w:r w:rsidR="005A21EF">
        <w:rPr>
          <w:lang w:val="en-GB" w:eastAsia="zh-TW"/>
        </w:rPr>
        <w:t>C</w:t>
      </w:r>
      <w:r w:rsidR="00DD4E69">
        <w:rPr>
          <w:lang w:val="en-GB" w:eastAsia="zh-TW"/>
        </w:rPr>
        <w:t>s</w:t>
      </w:r>
      <w:r w:rsidR="00AD7F2C">
        <w:rPr>
          <w:lang w:val="en-GB" w:eastAsia="zh-TW"/>
        </w:rPr>
        <w:t xml:space="preserve"> and FCs by councils, along with a sharp fall in D</w:t>
      </w:r>
      <w:r w:rsidR="002417B3">
        <w:rPr>
          <w:lang w:val="en-GB" w:eastAsia="zh-TW"/>
        </w:rPr>
        <w:t>C</w:t>
      </w:r>
      <w:r w:rsidR="00AD7F2C">
        <w:rPr>
          <w:lang w:val="en-GB" w:eastAsia="zh-TW"/>
        </w:rPr>
        <w:t xml:space="preserve"> and FC income between 2008 and 2011 (likely caused by reduction </w:t>
      </w:r>
      <w:r w:rsidR="00541AF2">
        <w:rPr>
          <w:lang w:val="en-GB" w:eastAsia="zh-TW"/>
        </w:rPr>
        <w:t>in growth resulting from the global financial crisis).</w:t>
      </w:r>
      <w:r w:rsidR="00EE004F">
        <w:rPr>
          <w:lang w:val="en-GB" w:eastAsia="zh-TW"/>
        </w:rPr>
        <w:t xml:space="preserve"> S</w:t>
      </w:r>
      <w:r>
        <w:rPr>
          <w:lang w:val="en-GB" w:eastAsia="zh-TW"/>
        </w:rPr>
        <w:t>ince the introduction of DC</w:t>
      </w:r>
      <w:r w:rsidR="00DA0F2E">
        <w:rPr>
          <w:lang w:val="en-GB" w:eastAsia="zh-TW"/>
        </w:rPr>
        <w:t>s, total D</w:t>
      </w:r>
      <w:r w:rsidR="005A21EF">
        <w:rPr>
          <w:lang w:val="en-GB" w:eastAsia="zh-TW"/>
        </w:rPr>
        <w:t>C</w:t>
      </w:r>
      <w:r w:rsidR="00DA0F2E">
        <w:rPr>
          <w:lang w:val="en-GB" w:eastAsia="zh-TW"/>
        </w:rPr>
        <w:t xml:space="preserve"> and FC income</w:t>
      </w:r>
      <w:r w:rsidR="00F16ECE">
        <w:rPr>
          <w:lang w:val="en-GB" w:eastAsia="zh-TW"/>
        </w:rPr>
        <w:t xml:space="preserve"> for l</w:t>
      </w:r>
      <w:r w:rsidR="00453BC6">
        <w:rPr>
          <w:lang w:val="en-GB" w:eastAsia="zh-TW"/>
        </w:rPr>
        <w:t>ocal councils has risen from $120 million in 2003 to $387</w:t>
      </w:r>
      <w:r w:rsidR="00F16ECE">
        <w:rPr>
          <w:lang w:val="en-GB" w:eastAsia="zh-TW"/>
        </w:rPr>
        <w:t xml:space="preserve"> million in 2017</w:t>
      </w:r>
      <w:r w:rsidR="00453BC6">
        <w:rPr>
          <w:lang w:val="en-GB" w:eastAsia="zh-TW"/>
        </w:rPr>
        <w:t xml:space="preserve"> (in real 2018 NZD), a 223 percent rise. </w:t>
      </w:r>
    </w:p>
    <w:p w14:paraId="572F4CB9" w14:textId="42556BD6" w:rsidR="00EE004F" w:rsidRDefault="00113A46" w:rsidP="00A514B7">
      <w:pPr>
        <w:rPr>
          <w:lang w:val="en-GB" w:eastAsia="ja-JP"/>
        </w:rPr>
      </w:pPr>
      <w:r>
        <w:rPr>
          <w:lang w:val="en-GB" w:eastAsia="ja-JP"/>
        </w:rPr>
        <w:t xml:space="preserve">To understand </w:t>
      </w:r>
      <w:r w:rsidR="00541AF2">
        <w:rPr>
          <w:lang w:val="en-GB" w:eastAsia="ja-JP"/>
        </w:rPr>
        <w:t>the scale of the</w:t>
      </w:r>
      <w:r w:rsidR="00F21B77">
        <w:rPr>
          <w:lang w:val="en-GB" w:eastAsia="ja-JP"/>
        </w:rPr>
        <w:t xml:space="preserve"> growth </w:t>
      </w:r>
      <w:r w:rsidR="00541AF2">
        <w:rPr>
          <w:lang w:val="en-GB" w:eastAsia="ja-JP"/>
        </w:rPr>
        <w:t>in D</w:t>
      </w:r>
      <w:r w:rsidR="005A21EF">
        <w:rPr>
          <w:lang w:val="en-GB" w:eastAsia="ja-JP"/>
        </w:rPr>
        <w:t>C</w:t>
      </w:r>
      <w:r w:rsidR="00DD4E69">
        <w:rPr>
          <w:lang w:val="en-GB" w:eastAsia="ja-JP"/>
        </w:rPr>
        <w:t>s</w:t>
      </w:r>
      <w:r w:rsidR="00541AF2">
        <w:rPr>
          <w:lang w:val="en-GB" w:eastAsia="ja-JP"/>
        </w:rPr>
        <w:t xml:space="preserve"> and FC</w:t>
      </w:r>
      <w:r w:rsidR="00DD4E69">
        <w:rPr>
          <w:lang w:val="en-GB" w:eastAsia="ja-JP"/>
        </w:rPr>
        <w:t>s</w:t>
      </w:r>
      <w:r w:rsidR="00541AF2">
        <w:rPr>
          <w:lang w:val="en-GB" w:eastAsia="ja-JP"/>
        </w:rPr>
        <w:t xml:space="preserve"> </w:t>
      </w:r>
      <w:r w:rsidR="00F21B77">
        <w:rPr>
          <w:lang w:val="en-GB" w:eastAsia="ja-JP"/>
        </w:rPr>
        <w:t xml:space="preserve">relative to total local council income, Table </w:t>
      </w:r>
      <w:r w:rsidR="003448CE">
        <w:rPr>
          <w:lang w:val="en-GB" w:eastAsia="ja-JP"/>
        </w:rPr>
        <w:t>1</w:t>
      </w:r>
      <w:r w:rsidR="00F21B77">
        <w:rPr>
          <w:lang w:val="en-GB" w:eastAsia="ja-JP"/>
        </w:rPr>
        <w:t xml:space="preserve"> below shows annual D</w:t>
      </w:r>
      <w:r w:rsidR="005A21EF">
        <w:rPr>
          <w:lang w:val="en-GB" w:eastAsia="ja-JP"/>
        </w:rPr>
        <w:t>C</w:t>
      </w:r>
      <w:r w:rsidR="00F21B77">
        <w:rPr>
          <w:lang w:val="en-GB" w:eastAsia="ja-JP"/>
        </w:rPr>
        <w:t xml:space="preserve"> and FC income alongside total local council operating income.</w:t>
      </w:r>
      <w:r w:rsidR="00541AF2">
        <w:rPr>
          <w:lang w:val="en-GB" w:eastAsia="ja-JP"/>
        </w:rPr>
        <w:t xml:space="preserve"> </w:t>
      </w:r>
      <w:r w:rsidR="00486A0E">
        <w:rPr>
          <w:lang w:val="en-GB" w:eastAsia="ja-JP"/>
        </w:rPr>
        <w:t>E</w:t>
      </w:r>
      <w:r w:rsidR="00B9126A">
        <w:rPr>
          <w:lang w:val="en-GB" w:eastAsia="ja-JP"/>
        </w:rPr>
        <w:t xml:space="preserve">very second year has been provided for conciseness. </w:t>
      </w:r>
    </w:p>
    <w:p w14:paraId="5FD7AE2A" w14:textId="77777777" w:rsidR="00EE004F" w:rsidRDefault="00EE004F">
      <w:pPr>
        <w:rPr>
          <w:b/>
          <w:bCs/>
          <w:color w:val="193972"/>
        </w:rPr>
      </w:pPr>
      <w:r>
        <w:br w:type="page"/>
      </w:r>
    </w:p>
    <w:p w14:paraId="27388483" w14:textId="5F1B2863" w:rsidR="000021D5" w:rsidRDefault="000021D5" w:rsidP="005F2929">
      <w:pPr>
        <w:pStyle w:val="Caption"/>
        <w:jc w:val="left"/>
      </w:pPr>
      <w:bookmarkStart w:id="12" w:name="_Toc533411211"/>
      <w:r>
        <w:lastRenderedPageBreak/>
        <w:t>Table</w:t>
      </w:r>
      <w:r w:rsidR="00435C0F">
        <w:t xml:space="preserve"> </w:t>
      </w:r>
      <w:r w:rsidR="00616BAD">
        <w:rPr>
          <w:noProof/>
        </w:rPr>
        <w:fldChar w:fldCharType="begin"/>
      </w:r>
      <w:r w:rsidR="00616BAD">
        <w:rPr>
          <w:noProof/>
        </w:rPr>
        <w:instrText xml:space="preserve"> SEQ Table \* ARABIC </w:instrText>
      </w:r>
      <w:r w:rsidR="00616BAD">
        <w:rPr>
          <w:noProof/>
        </w:rPr>
        <w:fldChar w:fldCharType="separate"/>
      </w:r>
      <w:r w:rsidR="0034416C">
        <w:rPr>
          <w:noProof/>
        </w:rPr>
        <w:t>1</w:t>
      </w:r>
      <w:r w:rsidR="00616BAD">
        <w:rPr>
          <w:noProof/>
        </w:rPr>
        <w:fldChar w:fldCharType="end"/>
      </w:r>
      <w:r>
        <w:t>:</w:t>
      </w:r>
      <w:r w:rsidR="002C58A2">
        <w:t xml:space="preserve"> </w:t>
      </w:r>
      <w:r w:rsidR="001229DB">
        <w:t>D</w:t>
      </w:r>
      <w:r w:rsidR="00A61BBF">
        <w:t>C</w:t>
      </w:r>
      <w:r w:rsidR="001229DB">
        <w:t xml:space="preserve"> and FC i</w:t>
      </w:r>
      <w:r w:rsidR="00FA44F3">
        <w:t>ncome alongside total local council operating income since 2003</w:t>
      </w:r>
      <w:bookmarkEnd w:id="12"/>
    </w:p>
    <w:p w14:paraId="756140E5" w14:textId="0F47EC94" w:rsidR="00437DEC" w:rsidRPr="00437DEC" w:rsidRDefault="00437DEC" w:rsidP="00437DEC">
      <w:r>
        <w:rPr>
          <w:noProof/>
        </w:rPr>
        <w:drawing>
          <wp:inline distT="0" distB="0" distL="0" distR="0" wp14:anchorId="554B9C1E" wp14:editId="64210AC5">
            <wp:extent cx="5731510" cy="1580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0-23 at 1.39.24 PM.jpeg"/>
                    <pic:cNvPicPr/>
                  </pic:nvPicPr>
                  <pic:blipFill>
                    <a:blip r:embed="rId25"/>
                    <a:stretch>
                      <a:fillRect/>
                    </a:stretch>
                  </pic:blipFill>
                  <pic:spPr>
                    <a:xfrm>
                      <a:off x="0" y="0"/>
                      <a:ext cx="5731510" cy="1580515"/>
                    </a:xfrm>
                    <a:prstGeom prst="rect">
                      <a:avLst/>
                    </a:prstGeom>
                  </pic:spPr>
                </pic:pic>
              </a:graphicData>
            </a:graphic>
          </wp:inline>
        </w:drawing>
      </w:r>
    </w:p>
    <w:p w14:paraId="5D48D96E" w14:textId="408D6178" w:rsidR="00EE004F" w:rsidRDefault="00EE004F" w:rsidP="00EE004F">
      <w:pPr>
        <w:spacing w:after="0"/>
        <w:rPr>
          <w:i/>
          <w:sz w:val="16"/>
          <w:szCs w:val="16"/>
          <w:lang w:val="en-GB" w:eastAsia="zh-TW"/>
        </w:rPr>
      </w:pPr>
      <w:r>
        <w:rPr>
          <w:i/>
          <w:sz w:val="16"/>
          <w:szCs w:val="16"/>
          <w:lang w:val="en-GB" w:eastAsia="zh-TW"/>
        </w:rPr>
        <w:t>Note: In real 2018 NZD</w:t>
      </w:r>
    </w:p>
    <w:p w14:paraId="1A16744E" w14:textId="0AE100C1" w:rsidR="00EE004F" w:rsidRPr="00435C0F" w:rsidRDefault="00435C0F" w:rsidP="00435C0F">
      <w:pPr>
        <w:rPr>
          <w:i/>
          <w:sz w:val="16"/>
          <w:szCs w:val="16"/>
          <w:lang w:val="en-GB" w:eastAsia="zh-TW"/>
        </w:rPr>
      </w:pPr>
      <w:r w:rsidRPr="00435C0F">
        <w:rPr>
          <w:i/>
          <w:sz w:val="16"/>
          <w:szCs w:val="16"/>
          <w:lang w:val="en-GB" w:eastAsia="zh-TW"/>
        </w:rPr>
        <w:t>Source: Statistics NZ and TDB analysis</w:t>
      </w:r>
    </w:p>
    <w:p w14:paraId="27A682DD" w14:textId="44379793" w:rsidR="009B5813" w:rsidRDefault="00B9126A" w:rsidP="009B5813">
      <w:pPr>
        <w:rPr>
          <w:lang w:val="en-GB" w:eastAsia="zh-TW"/>
        </w:rPr>
      </w:pPr>
      <w:r>
        <w:rPr>
          <w:lang w:val="en-GB" w:eastAsia="zh-TW"/>
        </w:rPr>
        <w:t>As Table 1 shows, total D</w:t>
      </w:r>
      <w:r w:rsidR="005A21EF">
        <w:rPr>
          <w:lang w:val="en-GB" w:eastAsia="zh-TW"/>
        </w:rPr>
        <w:t>C</w:t>
      </w:r>
      <w:r>
        <w:rPr>
          <w:lang w:val="en-GB" w:eastAsia="zh-TW"/>
        </w:rPr>
        <w:t xml:space="preserve"> and FC income tends to make up a relatively small </w:t>
      </w:r>
      <w:r w:rsidR="00541AF2">
        <w:rPr>
          <w:lang w:val="en-GB" w:eastAsia="zh-TW"/>
        </w:rPr>
        <w:t xml:space="preserve">but growing </w:t>
      </w:r>
      <w:r>
        <w:rPr>
          <w:lang w:val="en-GB" w:eastAsia="zh-TW"/>
        </w:rPr>
        <w:t>percentage of total local council operating income</w:t>
      </w:r>
      <w:r w:rsidR="00C351CA">
        <w:rPr>
          <w:lang w:val="en-GB" w:eastAsia="zh-TW"/>
        </w:rPr>
        <w:t xml:space="preserve"> (r</w:t>
      </w:r>
      <w:r>
        <w:rPr>
          <w:lang w:val="en-GB" w:eastAsia="zh-TW"/>
        </w:rPr>
        <w:t>anging from</w:t>
      </w:r>
      <w:r w:rsidR="00DA69F6">
        <w:rPr>
          <w:lang w:val="en-GB" w:eastAsia="zh-TW"/>
        </w:rPr>
        <w:t xml:space="preserve"> around</w:t>
      </w:r>
      <w:r w:rsidR="0024075F">
        <w:rPr>
          <w:lang w:val="en-GB" w:eastAsia="zh-TW"/>
        </w:rPr>
        <w:t xml:space="preserve"> 2 to 4</w:t>
      </w:r>
      <w:r>
        <w:rPr>
          <w:lang w:val="en-GB" w:eastAsia="zh-TW"/>
        </w:rPr>
        <w:t xml:space="preserve"> percent</w:t>
      </w:r>
      <w:r w:rsidR="00C351CA">
        <w:rPr>
          <w:lang w:val="en-GB" w:eastAsia="zh-TW"/>
        </w:rPr>
        <w:t>)</w:t>
      </w:r>
      <w:r>
        <w:rPr>
          <w:lang w:val="en-GB" w:eastAsia="zh-TW"/>
        </w:rPr>
        <w:t xml:space="preserve">. </w:t>
      </w:r>
      <w:r w:rsidR="00074956">
        <w:rPr>
          <w:lang w:val="en-GB" w:eastAsia="zh-TW"/>
        </w:rPr>
        <w:t xml:space="preserve">The </w:t>
      </w:r>
      <w:r w:rsidR="009B5813">
        <w:rPr>
          <w:lang w:val="en-GB" w:eastAsia="zh-TW"/>
        </w:rPr>
        <w:t>DI</w:t>
      </w:r>
      <w:r w:rsidR="00FF6A8F">
        <w:rPr>
          <w:lang w:val="en-GB" w:eastAsia="zh-TW"/>
        </w:rPr>
        <w:t>A’s 2013 discussion paper</w:t>
      </w:r>
      <w:r w:rsidR="0024075F">
        <w:rPr>
          <w:lang w:val="en-GB" w:eastAsia="zh-TW"/>
        </w:rPr>
        <w:t xml:space="preserve"> noted however</w:t>
      </w:r>
      <w:r w:rsidR="00FF6A8F">
        <w:rPr>
          <w:lang w:val="en-GB" w:eastAsia="zh-TW"/>
        </w:rPr>
        <w:t xml:space="preserve">, </w:t>
      </w:r>
      <w:r w:rsidR="009B5813">
        <w:rPr>
          <w:lang w:val="en-GB" w:eastAsia="zh-TW"/>
        </w:rPr>
        <w:t>for some local coun</w:t>
      </w:r>
      <w:r w:rsidR="0024075F">
        <w:rPr>
          <w:lang w:val="en-GB" w:eastAsia="zh-TW"/>
        </w:rPr>
        <w:t>cils</w:t>
      </w:r>
      <w:r w:rsidR="007D304F">
        <w:rPr>
          <w:lang w:val="en-GB" w:eastAsia="zh-TW"/>
        </w:rPr>
        <w:t xml:space="preserve"> it has been reported that </w:t>
      </w:r>
      <w:r w:rsidR="009B5813">
        <w:rPr>
          <w:lang w:val="en-GB" w:eastAsia="zh-TW"/>
        </w:rPr>
        <w:t xml:space="preserve">DCs can make up between 10 and 20 percent of total </w:t>
      </w:r>
      <w:r w:rsidR="00074956">
        <w:rPr>
          <w:lang w:val="en-GB" w:eastAsia="zh-TW"/>
        </w:rPr>
        <w:t xml:space="preserve">local council </w:t>
      </w:r>
      <w:r w:rsidR="009B5813">
        <w:rPr>
          <w:lang w:val="en-GB" w:eastAsia="zh-TW"/>
        </w:rPr>
        <w:t>operating income.</w:t>
      </w:r>
      <w:r w:rsidR="009B5813" w:rsidRPr="007D304F">
        <w:rPr>
          <w:rStyle w:val="FootnoteReference"/>
          <w:sz w:val="20"/>
          <w:lang w:val="en-GB" w:eastAsia="zh-TW"/>
        </w:rPr>
        <w:footnoteReference w:id="11"/>
      </w:r>
      <w:r w:rsidR="00435C0F" w:rsidRPr="007D304F">
        <w:rPr>
          <w:lang w:val="en-GB" w:eastAsia="zh-TW"/>
        </w:rPr>
        <w:t xml:space="preserve"> </w:t>
      </w:r>
    </w:p>
    <w:p w14:paraId="1795AE6F" w14:textId="1995398A" w:rsidR="00435C0F" w:rsidRDefault="00435C0F" w:rsidP="009B5813">
      <w:pPr>
        <w:rPr>
          <w:lang w:val="en-GB" w:eastAsia="zh-TW"/>
        </w:rPr>
      </w:pPr>
      <w:r>
        <w:rPr>
          <w:lang w:val="en-GB" w:eastAsia="zh-TW"/>
        </w:rPr>
        <w:t xml:space="preserve">Also </w:t>
      </w:r>
      <w:r w:rsidR="00541AF2">
        <w:rPr>
          <w:lang w:val="en-GB" w:eastAsia="zh-TW"/>
        </w:rPr>
        <w:t>evident</w:t>
      </w:r>
      <w:r>
        <w:rPr>
          <w:lang w:val="en-GB" w:eastAsia="zh-TW"/>
        </w:rPr>
        <w:t xml:space="preserve"> in Table 1 is the difference in growth rates between D</w:t>
      </w:r>
      <w:r w:rsidR="005A21EF">
        <w:rPr>
          <w:lang w:val="en-GB" w:eastAsia="zh-TW"/>
        </w:rPr>
        <w:t>C</w:t>
      </w:r>
      <w:r>
        <w:rPr>
          <w:lang w:val="en-GB" w:eastAsia="zh-TW"/>
        </w:rPr>
        <w:t xml:space="preserve"> and FC </w:t>
      </w:r>
      <w:r w:rsidR="00C97E8A">
        <w:rPr>
          <w:lang w:val="en-GB" w:eastAsia="zh-TW"/>
        </w:rPr>
        <w:t>i</w:t>
      </w:r>
      <w:r>
        <w:rPr>
          <w:lang w:val="en-GB" w:eastAsia="zh-TW"/>
        </w:rPr>
        <w:t xml:space="preserve">ncome and total local council operating income. </w:t>
      </w:r>
      <w:r w:rsidR="000B6540">
        <w:rPr>
          <w:lang w:val="en-GB" w:eastAsia="zh-TW"/>
        </w:rPr>
        <w:t>D</w:t>
      </w:r>
      <w:r w:rsidR="005A21EF">
        <w:rPr>
          <w:lang w:val="en-GB" w:eastAsia="zh-TW"/>
        </w:rPr>
        <w:t>C</w:t>
      </w:r>
      <w:r w:rsidR="000B6540">
        <w:rPr>
          <w:lang w:val="en-GB" w:eastAsia="zh-TW"/>
        </w:rPr>
        <w:t xml:space="preserve"> and FC income has grown 223</w:t>
      </w:r>
      <w:r w:rsidR="00485CE6">
        <w:rPr>
          <w:lang w:val="en-GB" w:eastAsia="zh-TW"/>
        </w:rPr>
        <w:t xml:space="preserve"> percent over the last 14 years, at an average </w:t>
      </w:r>
      <w:r w:rsidR="00541AF2">
        <w:rPr>
          <w:lang w:val="en-GB" w:eastAsia="zh-TW"/>
        </w:rPr>
        <w:t xml:space="preserve">annual </w:t>
      </w:r>
      <w:r w:rsidR="000B6540">
        <w:rPr>
          <w:lang w:val="en-GB" w:eastAsia="zh-TW"/>
        </w:rPr>
        <w:t>rate of 9</w:t>
      </w:r>
      <w:r w:rsidR="00485CE6">
        <w:rPr>
          <w:lang w:val="en-GB" w:eastAsia="zh-TW"/>
        </w:rPr>
        <w:t xml:space="preserve"> percent per year. </w:t>
      </w:r>
      <w:r w:rsidR="00801E1E">
        <w:rPr>
          <w:lang w:val="en-GB" w:eastAsia="zh-TW"/>
        </w:rPr>
        <w:t>This compares to total local counci</w:t>
      </w:r>
      <w:r w:rsidR="00453BC6">
        <w:rPr>
          <w:lang w:val="en-GB" w:eastAsia="zh-TW"/>
        </w:rPr>
        <w:t xml:space="preserve">l operating income growth of </w:t>
      </w:r>
      <w:r w:rsidR="000B6540">
        <w:rPr>
          <w:lang w:val="en-GB" w:eastAsia="zh-TW"/>
        </w:rPr>
        <w:t xml:space="preserve">65 </w:t>
      </w:r>
      <w:r w:rsidR="00801E1E">
        <w:rPr>
          <w:lang w:val="en-GB" w:eastAsia="zh-TW"/>
        </w:rPr>
        <w:t>percent, at an aver</w:t>
      </w:r>
      <w:r w:rsidR="000B6540">
        <w:rPr>
          <w:lang w:val="en-GB" w:eastAsia="zh-TW"/>
        </w:rPr>
        <w:t>age rate of 4</w:t>
      </w:r>
      <w:r w:rsidR="002C58A2">
        <w:rPr>
          <w:lang w:val="en-GB" w:eastAsia="zh-TW"/>
        </w:rPr>
        <w:t xml:space="preserve"> percent per year.</w:t>
      </w:r>
    </w:p>
    <w:p w14:paraId="377DD461" w14:textId="1AC49214" w:rsidR="009203A4" w:rsidRDefault="009203A4" w:rsidP="009B5813">
      <w:pPr>
        <w:rPr>
          <w:lang w:val="en-GB" w:eastAsia="zh-TW"/>
        </w:rPr>
      </w:pPr>
      <w:r>
        <w:rPr>
          <w:lang w:val="en-GB" w:eastAsia="zh-TW"/>
        </w:rPr>
        <w:t>Table 2 below investigates the growth rate of D</w:t>
      </w:r>
      <w:r w:rsidR="005A21EF">
        <w:rPr>
          <w:lang w:val="en-GB" w:eastAsia="zh-TW"/>
        </w:rPr>
        <w:t>C</w:t>
      </w:r>
      <w:r>
        <w:rPr>
          <w:lang w:val="en-GB" w:eastAsia="zh-TW"/>
        </w:rPr>
        <w:t xml:space="preserve"> and FC income vs total council operating income </w:t>
      </w:r>
      <w:r w:rsidR="00541AF2">
        <w:rPr>
          <w:lang w:val="en-GB" w:eastAsia="zh-TW"/>
        </w:rPr>
        <w:t>further</w:t>
      </w:r>
      <w:r>
        <w:rPr>
          <w:lang w:val="en-GB" w:eastAsia="zh-TW"/>
        </w:rPr>
        <w:t xml:space="preserve"> by showing the</w:t>
      </w:r>
      <w:r w:rsidR="00CC2E23">
        <w:rPr>
          <w:lang w:val="en-GB" w:eastAsia="zh-TW"/>
        </w:rPr>
        <w:t xml:space="preserve"> growth over the last</w:t>
      </w:r>
      <w:r>
        <w:rPr>
          <w:lang w:val="en-GB" w:eastAsia="zh-TW"/>
        </w:rPr>
        <w:t xml:space="preserve"> 14 year</w:t>
      </w:r>
      <w:r w:rsidR="00CC2E23">
        <w:rPr>
          <w:lang w:val="en-GB" w:eastAsia="zh-TW"/>
        </w:rPr>
        <w:t xml:space="preserve">s, </w:t>
      </w:r>
      <w:r>
        <w:rPr>
          <w:lang w:val="en-GB" w:eastAsia="zh-TW"/>
        </w:rPr>
        <w:t xml:space="preserve">alongside growth rates over the last 6 and 3 years. </w:t>
      </w:r>
    </w:p>
    <w:p w14:paraId="59E4B6F1" w14:textId="36E0B4DA" w:rsidR="003E3F4E" w:rsidRDefault="003E3F4E" w:rsidP="005F2929">
      <w:pPr>
        <w:pStyle w:val="Caption"/>
        <w:jc w:val="left"/>
        <w:rPr>
          <w:lang w:val="en-GB" w:eastAsia="zh-TW"/>
        </w:rPr>
      </w:pPr>
      <w:bookmarkStart w:id="13" w:name="_Toc533411212"/>
      <w:r>
        <w:t xml:space="preserve">Table </w:t>
      </w:r>
      <w:r w:rsidR="00616BAD">
        <w:rPr>
          <w:noProof/>
        </w:rPr>
        <w:fldChar w:fldCharType="begin"/>
      </w:r>
      <w:r w:rsidR="00616BAD">
        <w:rPr>
          <w:noProof/>
        </w:rPr>
        <w:instrText xml:space="preserve"> SEQ Table \* ARABIC </w:instrText>
      </w:r>
      <w:r w:rsidR="00616BAD">
        <w:rPr>
          <w:noProof/>
        </w:rPr>
        <w:fldChar w:fldCharType="separate"/>
      </w:r>
      <w:r w:rsidR="0034416C">
        <w:rPr>
          <w:noProof/>
        </w:rPr>
        <w:t>2</w:t>
      </w:r>
      <w:r w:rsidR="00616BAD">
        <w:rPr>
          <w:noProof/>
        </w:rPr>
        <w:fldChar w:fldCharType="end"/>
      </w:r>
      <w:r>
        <w:t xml:space="preserve">: Income growth rates over 14, </w:t>
      </w:r>
      <w:proofErr w:type="gramStart"/>
      <w:r>
        <w:t>6 and 3 year</w:t>
      </w:r>
      <w:proofErr w:type="gramEnd"/>
      <w:r>
        <w:t xml:space="preserve"> periods</w:t>
      </w:r>
      <w:bookmarkEnd w:id="13"/>
    </w:p>
    <w:p w14:paraId="45D42251" w14:textId="7E94BB36" w:rsidR="002C58A2" w:rsidRDefault="00437DEC" w:rsidP="00242416">
      <w:pPr>
        <w:spacing w:after="120"/>
        <w:rPr>
          <w:lang w:val="en-GB" w:eastAsia="zh-TW"/>
        </w:rPr>
      </w:pPr>
      <w:r>
        <w:rPr>
          <w:noProof/>
          <w:lang w:val="en-GB" w:eastAsia="zh-TW"/>
        </w:rPr>
        <w:drawing>
          <wp:inline distT="0" distB="0" distL="0" distR="0" wp14:anchorId="1DAFF0D2" wp14:editId="713AE3D2">
            <wp:extent cx="5731510" cy="13633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0-23 at 1.40.33 PM.jpeg"/>
                    <pic:cNvPicPr/>
                  </pic:nvPicPr>
                  <pic:blipFill>
                    <a:blip r:embed="rId26"/>
                    <a:stretch>
                      <a:fillRect/>
                    </a:stretch>
                  </pic:blipFill>
                  <pic:spPr>
                    <a:xfrm>
                      <a:off x="0" y="0"/>
                      <a:ext cx="5731510" cy="1363345"/>
                    </a:xfrm>
                    <a:prstGeom prst="rect">
                      <a:avLst/>
                    </a:prstGeom>
                  </pic:spPr>
                </pic:pic>
              </a:graphicData>
            </a:graphic>
          </wp:inline>
        </w:drawing>
      </w:r>
    </w:p>
    <w:p w14:paraId="2ADF0938" w14:textId="26CE9A28" w:rsidR="00242416" w:rsidRPr="00242416" w:rsidRDefault="00242416" w:rsidP="009B5813">
      <w:pPr>
        <w:rPr>
          <w:i/>
          <w:sz w:val="16"/>
          <w:szCs w:val="16"/>
          <w:lang w:val="en-GB" w:eastAsia="zh-TW"/>
        </w:rPr>
      </w:pPr>
      <w:r w:rsidRPr="00435C0F">
        <w:rPr>
          <w:i/>
          <w:sz w:val="16"/>
          <w:szCs w:val="16"/>
          <w:lang w:val="en-GB" w:eastAsia="zh-TW"/>
        </w:rPr>
        <w:t>Source: Statistics NZ and TDB analysis</w:t>
      </w:r>
    </w:p>
    <w:p w14:paraId="0F3861F0" w14:textId="2AF9A3BA" w:rsidR="000D342C" w:rsidRDefault="000D342C" w:rsidP="000D342C">
      <w:pPr>
        <w:rPr>
          <w:lang w:val="en-GB" w:eastAsia="zh-TW"/>
        </w:rPr>
      </w:pPr>
      <w:r>
        <w:rPr>
          <w:lang w:val="en-GB" w:eastAsia="zh-TW"/>
        </w:rPr>
        <w:t>Table 2 illustrates that</w:t>
      </w:r>
      <w:r w:rsidR="006E0D3F">
        <w:rPr>
          <w:lang w:val="en-GB" w:eastAsia="zh-TW"/>
        </w:rPr>
        <w:t>,</w:t>
      </w:r>
      <w:r>
        <w:rPr>
          <w:lang w:val="en-GB" w:eastAsia="zh-TW"/>
        </w:rPr>
        <w:t xml:space="preserve"> when viewed over a more recent timespan, the difference in growth in total D</w:t>
      </w:r>
      <w:r w:rsidR="005A21EF">
        <w:rPr>
          <w:lang w:val="en-GB" w:eastAsia="zh-TW"/>
        </w:rPr>
        <w:t>C</w:t>
      </w:r>
      <w:r>
        <w:rPr>
          <w:lang w:val="en-GB" w:eastAsia="zh-TW"/>
        </w:rPr>
        <w:t xml:space="preserve"> and FC income compared to total local council operating income is even more significant. </w:t>
      </w:r>
    </w:p>
    <w:p w14:paraId="75AF84CA" w14:textId="474E18FF" w:rsidR="00B22BB6" w:rsidRPr="00B22BB6" w:rsidRDefault="007F6C26" w:rsidP="008C33B2">
      <w:pPr>
        <w:rPr>
          <w:lang w:val="en-GB" w:eastAsia="zh-TW"/>
        </w:rPr>
      </w:pPr>
      <w:r>
        <w:rPr>
          <w:lang w:val="en-GB" w:eastAsia="zh-TW"/>
        </w:rPr>
        <w:t>In the DIA’s</w:t>
      </w:r>
      <w:r w:rsidR="00DA69F6">
        <w:rPr>
          <w:lang w:val="en-GB" w:eastAsia="zh-TW"/>
        </w:rPr>
        <w:t xml:space="preserve"> </w:t>
      </w:r>
      <w:r w:rsidR="006E0D3F">
        <w:rPr>
          <w:lang w:val="en-GB" w:eastAsia="zh-TW"/>
        </w:rPr>
        <w:t xml:space="preserve">2013 </w:t>
      </w:r>
      <w:r w:rsidR="00DA69F6">
        <w:rPr>
          <w:lang w:val="en-GB" w:eastAsia="zh-TW"/>
        </w:rPr>
        <w:t xml:space="preserve">Development Contributions Review, projections </w:t>
      </w:r>
      <w:r>
        <w:rPr>
          <w:lang w:val="en-GB" w:eastAsia="zh-TW"/>
        </w:rPr>
        <w:t xml:space="preserve">were made </w:t>
      </w:r>
      <w:r w:rsidR="006E0D3F">
        <w:rPr>
          <w:lang w:val="en-GB" w:eastAsia="zh-TW"/>
        </w:rPr>
        <w:t>of</w:t>
      </w:r>
      <w:r w:rsidR="008925C8">
        <w:rPr>
          <w:lang w:val="en-GB" w:eastAsia="zh-TW"/>
        </w:rPr>
        <w:t xml:space="preserve"> future</w:t>
      </w:r>
      <w:r w:rsidR="00DA69F6">
        <w:rPr>
          <w:lang w:val="en-GB" w:eastAsia="zh-TW"/>
        </w:rPr>
        <w:t xml:space="preserve"> contributions revenue relative to local authority operating income. </w:t>
      </w:r>
      <w:r w:rsidR="008925C8">
        <w:rPr>
          <w:lang w:val="en-GB" w:eastAsia="zh-TW"/>
        </w:rPr>
        <w:t xml:space="preserve">These projections were from </w:t>
      </w:r>
      <w:r w:rsidR="006E0D3F">
        <w:rPr>
          <w:lang w:val="en-GB" w:eastAsia="zh-TW"/>
        </w:rPr>
        <w:t>2013 to 2022.</w:t>
      </w:r>
      <w:r w:rsidR="00795FD5">
        <w:rPr>
          <w:lang w:val="en-GB" w:eastAsia="zh-TW"/>
        </w:rPr>
        <w:t xml:space="preserve"> </w:t>
      </w:r>
      <w:r w:rsidR="006E0D3F">
        <w:rPr>
          <w:lang w:val="en-GB" w:eastAsia="zh-TW"/>
        </w:rPr>
        <w:t>W</w:t>
      </w:r>
      <w:r w:rsidR="00795FD5">
        <w:rPr>
          <w:lang w:val="en-GB" w:eastAsia="zh-TW"/>
        </w:rPr>
        <w:t>e can now compare the first five years</w:t>
      </w:r>
      <w:r w:rsidR="00026E1D">
        <w:rPr>
          <w:lang w:val="en-GB" w:eastAsia="zh-TW"/>
        </w:rPr>
        <w:t xml:space="preserve"> of projections</w:t>
      </w:r>
      <w:r w:rsidR="00795FD5">
        <w:rPr>
          <w:lang w:val="en-GB" w:eastAsia="zh-TW"/>
        </w:rPr>
        <w:t xml:space="preserve"> with the actual figures, as </w:t>
      </w:r>
      <w:r w:rsidR="004C14E5">
        <w:rPr>
          <w:lang w:val="en-GB" w:eastAsia="zh-TW"/>
        </w:rPr>
        <w:t xml:space="preserve">illustrated in </w:t>
      </w:r>
      <w:r w:rsidR="00F86A16">
        <w:rPr>
          <w:lang w:val="en-GB" w:eastAsia="zh-TW"/>
        </w:rPr>
        <w:t>T</w:t>
      </w:r>
      <w:r w:rsidR="004C14E5">
        <w:rPr>
          <w:lang w:val="en-GB" w:eastAsia="zh-TW"/>
        </w:rPr>
        <w:t>able</w:t>
      </w:r>
      <w:r w:rsidR="00F86A16">
        <w:rPr>
          <w:lang w:val="en-GB" w:eastAsia="zh-TW"/>
        </w:rPr>
        <w:t xml:space="preserve"> 3</w:t>
      </w:r>
      <w:r w:rsidR="00795FD5">
        <w:rPr>
          <w:lang w:val="en-GB" w:eastAsia="zh-TW"/>
        </w:rPr>
        <w:t xml:space="preserve"> below.</w:t>
      </w:r>
    </w:p>
    <w:p w14:paraId="6323D8E6" w14:textId="77777777" w:rsidR="000C6E05" w:rsidRDefault="000C6E05" w:rsidP="00D5778E">
      <w:pPr>
        <w:pStyle w:val="Caption"/>
      </w:pPr>
    </w:p>
    <w:p w14:paraId="77AF90B2" w14:textId="77777777" w:rsidR="000C6E05" w:rsidRDefault="000C6E05" w:rsidP="00D5778E">
      <w:pPr>
        <w:pStyle w:val="Caption"/>
      </w:pPr>
    </w:p>
    <w:p w14:paraId="6116F01A" w14:textId="77777777" w:rsidR="000C6E05" w:rsidRDefault="000C6E05" w:rsidP="00D5778E">
      <w:pPr>
        <w:pStyle w:val="Caption"/>
      </w:pPr>
    </w:p>
    <w:p w14:paraId="3AA43738" w14:textId="4584D6F8" w:rsidR="00D5778E" w:rsidRDefault="00D5778E" w:rsidP="00D5778E">
      <w:pPr>
        <w:pStyle w:val="Caption"/>
        <w:rPr>
          <w:sz w:val="16"/>
          <w:szCs w:val="16"/>
          <w:lang w:val="en-GB" w:eastAsia="zh-TW"/>
        </w:rPr>
      </w:pPr>
      <w:bookmarkStart w:id="14" w:name="_Toc533411213"/>
      <w:r>
        <w:lastRenderedPageBreak/>
        <w:t xml:space="preserve">Table </w:t>
      </w:r>
      <w:r w:rsidR="00616BAD">
        <w:rPr>
          <w:noProof/>
        </w:rPr>
        <w:fldChar w:fldCharType="begin"/>
      </w:r>
      <w:r w:rsidR="00616BAD">
        <w:rPr>
          <w:noProof/>
        </w:rPr>
        <w:instrText xml:space="preserve"> SEQ Table \* ARABIC </w:instrText>
      </w:r>
      <w:r w:rsidR="00616BAD">
        <w:rPr>
          <w:noProof/>
        </w:rPr>
        <w:fldChar w:fldCharType="separate"/>
      </w:r>
      <w:r w:rsidR="0034416C">
        <w:rPr>
          <w:noProof/>
        </w:rPr>
        <w:t>3</w:t>
      </w:r>
      <w:r w:rsidR="00616BAD">
        <w:rPr>
          <w:noProof/>
        </w:rPr>
        <w:fldChar w:fldCharType="end"/>
      </w:r>
      <w:r>
        <w:t>:</w:t>
      </w:r>
      <w:r w:rsidR="001229DB">
        <w:t xml:space="preserve"> A</w:t>
      </w:r>
      <w:r w:rsidR="00767DF1">
        <w:t>ctual</w:t>
      </w:r>
      <w:r w:rsidR="001229DB">
        <w:t xml:space="preserve"> and projected</w:t>
      </w:r>
      <w:r w:rsidR="00767DF1">
        <w:t xml:space="preserve"> contributions as a % of total local council income</w:t>
      </w:r>
      <w:bookmarkEnd w:id="14"/>
      <w:r w:rsidR="00767DF1">
        <w:t xml:space="preserve"> </w:t>
      </w:r>
    </w:p>
    <w:p w14:paraId="71231C70" w14:textId="5A8D59A4" w:rsidR="008C33B2" w:rsidRDefault="003F6AD7" w:rsidP="00242416">
      <w:pPr>
        <w:spacing w:after="120"/>
        <w:rPr>
          <w:sz w:val="16"/>
          <w:szCs w:val="16"/>
          <w:lang w:val="en-GB" w:eastAsia="zh-TW"/>
        </w:rPr>
      </w:pPr>
      <w:r>
        <w:rPr>
          <w:noProof/>
          <w:sz w:val="16"/>
          <w:szCs w:val="16"/>
          <w:lang w:val="en-GB" w:eastAsia="zh-TW"/>
        </w:rPr>
        <w:drawing>
          <wp:inline distT="0" distB="0" distL="0" distR="0" wp14:anchorId="339BD58A" wp14:editId="5416CA95">
            <wp:extent cx="5731510" cy="6629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10-05 at 12.39.57 AM.jpeg"/>
                    <pic:cNvPicPr/>
                  </pic:nvPicPr>
                  <pic:blipFill>
                    <a:blip r:embed="rId27"/>
                    <a:stretch>
                      <a:fillRect/>
                    </a:stretch>
                  </pic:blipFill>
                  <pic:spPr>
                    <a:xfrm>
                      <a:off x="0" y="0"/>
                      <a:ext cx="5731510" cy="662940"/>
                    </a:xfrm>
                    <a:prstGeom prst="rect">
                      <a:avLst/>
                    </a:prstGeom>
                  </pic:spPr>
                </pic:pic>
              </a:graphicData>
            </a:graphic>
          </wp:inline>
        </w:drawing>
      </w:r>
    </w:p>
    <w:p w14:paraId="7BB4C8DC" w14:textId="3D0081FB" w:rsidR="00242416" w:rsidRPr="00242416" w:rsidRDefault="00242416" w:rsidP="008C33B2">
      <w:pPr>
        <w:rPr>
          <w:i/>
          <w:sz w:val="16"/>
          <w:szCs w:val="16"/>
          <w:lang w:val="en-GB" w:eastAsia="zh-TW"/>
        </w:rPr>
      </w:pPr>
      <w:r w:rsidRPr="00435C0F">
        <w:rPr>
          <w:i/>
          <w:sz w:val="16"/>
          <w:szCs w:val="16"/>
          <w:lang w:val="en-GB" w:eastAsia="zh-TW"/>
        </w:rPr>
        <w:t>Source: Statistics NZ and TDB analysis</w:t>
      </w:r>
    </w:p>
    <w:p w14:paraId="3FA5D28E" w14:textId="60929263" w:rsidR="00082326" w:rsidRDefault="00F86A16" w:rsidP="00A514B7">
      <w:pPr>
        <w:rPr>
          <w:lang w:val="en-GB" w:eastAsia="zh-TW"/>
        </w:rPr>
      </w:pPr>
      <w:r>
        <w:rPr>
          <w:lang w:val="en-GB" w:eastAsia="zh-TW"/>
        </w:rPr>
        <w:t xml:space="preserve">For all five years (from 2013 to 2017), </w:t>
      </w:r>
      <w:r w:rsidR="003F6AD7">
        <w:rPr>
          <w:lang w:val="en-GB" w:eastAsia="zh-TW"/>
        </w:rPr>
        <w:t xml:space="preserve">the actual contributions as a percent of total </w:t>
      </w:r>
      <w:r w:rsidR="007B32BB">
        <w:rPr>
          <w:lang w:val="en-GB" w:eastAsia="zh-TW"/>
        </w:rPr>
        <w:t xml:space="preserve">local council income has exceeded the levels predicted by the DIA in 2013. </w:t>
      </w:r>
    </w:p>
    <w:p w14:paraId="2061508C" w14:textId="4541A747" w:rsidR="00D50C88" w:rsidRPr="006E0D3F" w:rsidRDefault="00522F67" w:rsidP="00D50C88">
      <w:pPr>
        <w:rPr>
          <w:lang w:val="en-GB" w:eastAsia="zh-TW"/>
        </w:rPr>
      </w:pPr>
      <w:r>
        <w:rPr>
          <w:lang w:val="en-GB" w:eastAsia="zh-TW"/>
        </w:rPr>
        <w:t xml:space="preserve">While we cannot conclude that </w:t>
      </w:r>
      <w:r w:rsidR="006E0D3F">
        <w:rPr>
          <w:lang w:val="en-GB" w:eastAsia="zh-TW"/>
        </w:rPr>
        <w:t xml:space="preserve">the </w:t>
      </w:r>
      <w:r>
        <w:rPr>
          <w:lang w:val="en-GB" w:eastAsia="zh-TW"/>
        </w:rPr>
        <w:t xml:space="preserve">ongoing </w:t>
      </w:r>
      <w:r w:rsidR="00026E1D">
        <w:rPr>
          <w:lang w:val="en-GB" w:eastAsia="zh-TW"/>
        </w:rPr>
        <w:t xml:space="preserve">(and </w:t>
      </w:r>
      <w:r>
        <w:rPr>
          <w:lang w:val="en-GB" w:eastAsia="zh-TW"/>
        </w:rPr>
        <w:t>quite significant</w:t>
      </w:r>
      <w:r w:rsidR="00026E1D">
        <w:rPr>
          <w:lang w:val="en-GB" w:eastAsia="zh-TW"/>
        </w:rPr>
        <w:t>)</w:t>
      </w:r>
      <w:r>
        <w:rPr>
          <w:lang w:val="en-GB" w:eastAsia="zh-TW"/>
        </w:rPr>
        <w:t xml:space="preserve"> increases in D</w:t>
      </w:r>
      <w:r w:rsidR="005A21EF">
        <w:rPr>
          <w:lang w:val="en-GB" w:eastAsia="zh-TW"/>
        </w:rPr>
        <w:t>C</w:t>
      </w:r>
      <w:r>
        <w:rPr>
          <w:lang w:val="en-GB" w:eastAsia="zh-TW"/>
        </w:rPr>
        <w:t xml:space="preserve"> and FC </w:t>
      </w:r>
      <w:r w:rsidR="00026E1D">
        <w:rPr>
          <w:lang w:val="en-GB" w:eastAsia="zh-TW"/>
        </w:rPr>
        <w:t>income</w:t>
      </w:r>
      <w:r>
        <w:rPr>
          <w:lang w:val="en-GB" w:eastAsia="zh-TW"/>
        </w:rPr>
        <w:t xml:space="preserve"> </w:t>
      </w:r>
      <w:r w:rsidR="006E0D3F">
        <w:rPr>
          <w:lang w:val="en-GB" w:eastAsia="zh-TW"/>
        </w:rPr>
        <w:t>over recent years reflects</w:t>
      </w:r>
      <w:r w:rsidR="008D267D">
        <w:rPr>
          <w:lang w:val="en-GB" w:eastAsia="zh-TW"/>
        </w:rPr>
        <w:t xml:space="preserve"> im</w:t>
      </w:r>
      <w:r>
        <w:rPr>
          <w:lang w:val="en-GB" w:eastAsia="zh-TW"/>
        </w:rPr>
        <w:t>proper use of these mechanisms by local councils,</w:t>
      </w:r>
      <w:r w:rsidR="00101C4A">
        <w:rPr>
          <w:lang w:val="en-GB" w:eastAsia="zh-TW"/>
        </w:rPr>
        <w:t xml:space="preserve"> </w:t>
      </w:r>
      <w:r w:rsidR="006E0D3F">
        <w:rPr>
          <w:lang w:val="en-GB" w:eastAsia="zh-TW"/>
        </w:rPr>
        <w:t xml:space="preserve">we </w:t>
      </w:r>
      <w:r w:rsidR="006F0219">
        <w:rPr>
          <w:lang w:val="en-GB" w:eastAsia="zh-TW"/>
        </w:rPr>
        <w:t xml:space="preserve">consider the </w:t>
      </w:r>
      <w:r w:rsidR="00990468">
        <w:rPr>
          <w:lang w:val="en-GB" w:eastAsia="zh-TW"/>
        </w:rPr>
        <w:t>significant rise in D</w:t>
      </w:r>
      <w:r w:rsidR="005A21EF">
        <w:rPr>
          <w:lang w:val="en-GB" w:eastAsia="zh-TW"/>
        </w:rPr>
        <w:t>C</w:t>
      </w:r>
      <w:r w:rsidR="00990468">
        <w:rPr>
          <w:lang w:val="en-GB" w:eastAsia="zh-TW"/>
        </w:rPr>
        <w:t xml:space="preserve"> and FC income (particularly in recent years) to be unusual. </w:t>
      </w:r>
      <w:r w:rsidR="007036C8">
        <w:rPr>
          <w:lang w:val="en-GB" w:eastAsia="zh-TW"/>
        </w:rPr>
        <w:t xml:space="preserve">Given that </w:t>
      </w:r>
      <w:r w:rsidR="00627B3B">
        <w:rPr>
          <w:lang w:val="en-GB" w:eastAsia="zh-TW"/>
        </w:rPr>
        <w:t>the LGA</w:t>
      </w:r>
      <w:r w:rsidR="000A53D2">
        <w:rPr>
          <w:lang w:val="en-GB" w:eastAsia="zh-TW"/>
        </w:rPr>
        <w:t xml:space="preserve"> amendment inv</w:t>
      </w:r>
      <w:r w:rsidR="006E0D3F">
        <w:rPr>
          <w:lang w:val="en-GB" w:eastAsia="zh-TW"/>
        </w:rPr>
        <w:t xml:space="preserve">olved changes </w:t>
      </w:r>
      <w:r w:rsidR="000A53D2">
        <w:rPr>
          <w:lang w:val="en-GB" w:eastAsia="zh-TW"/>
        </w:rPr>
        <w:t xml:space="preserve">specifically aimed at narrowing the scope of infrastructure that DCs could be used for, as well </w:t>
      </w:r>
      <w:r w:rsidR="004F617D">
        <w:rPr>
          <w:lang w:val="en-GB" w:eastAsia="zh-TW"/>
        </w:rPr>
        <w:t xml:space="preserve">as </w:t>
      </w:r>
      <w:r w:rsidR="000A53D2">
        <w:rPr>
          <w:lang w:val="en-GB" w:eastAsia="zh-TW"/>
        </w:rPr>
        <w:t xml:space="preserve">principles ensuring the link between DC charges and </w:t>
      </w:r>
      <w:proofErr w:type="gramStart"/>
      <w:r w:rsidR="000A53D2">
        <w:rPr>
          <w:lang w:val="en-GB" w:eastAsia="zh-TW"/>
        </w:rPr>
        <w:t>developer imposed</w:t>
      </w:r>
      <w:proofErr w:type="gramEnd"/>
      <w:r w:rsidR="000A53D2">
        <w:rPr>
          <w:lang w:val="en-GB" w:eastAsia="zh-TW"/>
        </w:rPr>
        <w:t xml:space="preserve"> costs, it seems </w:t>
      </w:r>
      <w:r w:rsidR="006E0D3F">
        <w:rPr>
          <w:lang w:val="en-GB" w:eastAsia="zh-TW"/>
        </w:rPr>
        <w:t>reasonable that a reduction in D</w:t>
      </w:r>
      <w:r w:rsidR="005A21EF">
        <w:rPr>
          <w:lang w:val="en-GB" w:eastAsia="zh-TW"/>
        </w:rPr>
        <w:t>C</w:t>
      </w:r>
      <w:r w:rsidR="00DD4E69">
        <w:rPr>
          <w:lang w:val="en-GB" w:eastAsia="zh-TW"/>
        </w:rPr>
        <w:t>s</w:t>
      </w:r>
      <w:r w:rsidR="006E0D3F">
        <w:rPr>
          <w:lang w:val="en-GB" w:eastAsia="zh-TW"/>
        </w:rPr>
        <w:t xml:space="preserve"> </w:t>
      </w:r>
      <w:r w:rsidR="000A53D2">
        <w:rPr>
          <w:lang w:val="en-GB" w:eastAsia="zh-TW"/>
        </w:rPr>
        <w:t>would occur</w:t>
      </w:r>
      <w:r w:rsidR="004F617D">
        <w:rPr>
          <w:lang w:val="en-GB" w:eastAsia="zh-TW"/>
        </w:rPr>
        <w:t xml:space="preserve"> (and therefore</w:t>
      </w:r>
      <w:r w:rsidR="00DF31C0">
        <w:rPr>
          <w:lang w:val="en-GB" w:eastAsia="zh-TW"/>
        </w:rPr>
        <w:t xml:space="preserve"> a</w:t>
      </w:r>
      <w:r w:rsidR="004F617D">
        <w:rPr>
          <w:lang w:val="en-GB" w:eastAsia="zh-TW"/>
        </w:rPr>
        <w:t xml:space="preserve"> likely</w:t>
      </w:r>
      <w:r w:rsidR="00DF31C0">
        <w:rPr>
          <w:lang w:val="en-GB" w:eastAsia="zh-TW"/>
        </w:rPr>
        <w:t xml:space="preserve"> reduction in total local council DC and FC income</w:t>
      </w:r>
      <w:r w:rsidR="004F617D">
        <w:rPr>
          <w:lang w:val="en-GB" w:eastAsia="zh-TW"/>
        </w:rPr>
        <w:t>)</w:t>
      </w:r>
      <w:r w:rsidR="00DF31C0">
        <w:rPr>
          <w:lang w:val="en-GB" w:eastAsia="zh-TW"/>
        </w:rPr>
        <w:t xml:space="preserve">. On the contrary, the DC and FC income has been increasing at a growing rate. </w:t>
      </w:r>
      <w:r w:rsidR="00645076">
        <w:rPr>
          <w:lang w:val="en-GB" w:eastAsia="zh-TW"/>
        </w:rPr>
        <w:t xml:space="preserve">While we note that </w:t>
      </w:r>
      <w:r w:rsidR="00486B2B">
        <w:rPr>
          <w:lang w:val="en-GB" w:eastAsia="zh-TW"/>
        </w:rPr>
        <w:t>development growth</w:t>
      </w:r>
      <w:r w:rsidR="00645076">
        <w:rPr>
          <w:lang w:val="en-GB" w:eastAsia="zh-TW"/>
        </w:rPr>
        <w:t xml:space="preserve"> </w:t>
      </w:r>
      <w:r w:rsidR="00B21CA2">
        <w:rPr>
          <w:lang w:val="en-GB" w:eastAsia="zh-TW"/>
        </w:rPr>
        <w:t>likely</w:t>
      </w:r>
      <w:r w:rsidR="00645076">
        <w:rPr>
          <w:lang w:val="en-GB" w:eastAsia="zh-TW"/>
        </w:rPr>
        <w:t xml:space="preserve"> plays a part in </w:t>
      </w:r>
      <w:r w:rsidR="006E0D3F">
        <w:rPr>
          <w:lang w:val="en-GB" w:eastAsia="zh-TW"/>
        </w:rPr>
        <w:t>increasing D</w:t>
      </w:r>
      <w:r w:rsidR="00F90153">
        <w:rPr>
          <w:lang w:val="en-GB" w:eastAsia="zh-TW"/>
        </w:rPr>
        <w:t>C</w:t>
      </w:r>
      <w:r w:rsidR="006E0D3F">
        <w:rPr>
          <w:lang w:val="en-GB" w:eastAsia="zh-TW"/>
        </w:rPr>
        <w:t xml:space="preserve"> and FC charges</w:t>
      </w:r>
      <w:r w:rsidR="00DB3C26">
        <w:rPr>
          <w:lang w:val="en-GB" w:eastAsia="zh-TW"/>
        </w:rPr>
        <w:t>,</w:t>
      </w:r>
      <w:r w:rsidR="00915A0D">
        <w:rPr>
          <w:lang w:val="en-GB" w:eastAsia="zh-TW"/>
        </w:rPr>
        <w:t xml:space="preserve"> </w:t>
      </w:r>
      <w:r w:rsidR="00D30734">
        <w:rPr>
          <w:lang w:val="en-GB" w:eastAsia="zh-TW"/>
        </w:rPr>
        <w:t>we also raise the question of whether there is evidence of local council misuse or overuse of these funding mechanisms.</w:t>
      </w:r>
    </w:p>
    <w:p w14:paraId="52E18C61" w14:textId="765B3BBA" w:rsidR="00B21B24" w:rsidRPr="00D50C88" w:rsidRDefault="00B21B24" w:rsidP="00B21B24">
      <w:pPr>
        <w:rPr>
          <w:b/>
          <w:color w:val="183F7C"/>
          <w:lang w:val="en-GB" w:eastAsia="ja-JP"/>
        </w:rPr>
      </w:pPr>
    </w:p>
    <w:p w14:paraId="7CFF6727" w14:textId="145192D7" w:rsidR="00B21B24" w:rsidRPr="00B21B24" w:rsidRDefault="00B21B24" w:rsidP="00B21B24">
      <w:pPr>
        <w:rPr>
          <w:rFonts w:cs="Open Sans"/>
          <w:color w:val="000000" w:themeColor="text1"/>
          <w:lang w:val="en-GB" w:eastAsia="zh-TW"/>
        </w:rPr>
      </w:pPr>
    </w:p>
    <w:p w14:paraId="04F9FDA5" w14:textId="032DA3CE" w:rsidR="00025433" w:rsidRPr="00A20D0E" w:rsidRDefault="00025433" w:rsidP="00025433">
      <w:pPr>
        <w:rPr>
          <w:color w:val="000000" w:themeColor="text1"/>
          <w:lang w:val="en-GB" w:eastAsia="ja-JP"/>
        </w:rPr>
      </w:pPr>
    </w:p>
    <w:p w14:paraId="23CD4E6E" w14:textId="0606231B" w:rsidR="009B6859" w:rsidRPr="00025433" w:rsidRDefault="009B6859" w:rsidP="00B32926">
      <w:pPr>
        <w:rPr>
          <w:b/>
          <w:lang w:val="en-GB" w:eastAsia="ja-JP"/>
        </w:rPr>
      </w:pPr>
    </w:p>
    <w:p w14:paraId="72E9643D" w14:textId="77777777" w:rsidR="00C203E8" w:rsidRPr="005778D9" w:rsidRDefault="00C203E8" w:rsidP="005778D9">
      <w:pPr>
        <w:rPr>
          <w:lang w:val="en-GB" w:eastAsia="zh-TW"/>
        </w:rPr>
      </w:pPr>
    </w:p>
    <w:p w14:paraId="52E10F04" w14:textId="6128FC2B" w:rsidR="0081533C" w:rsidRPr="001B3C63" w:rsidRDefault="0081533C" w:rsidP="001B3C63">
      <w:pPr>
        <w:rPr>
          <w:lang w:val="en-GB" w:eastAsia="zh-TW"/>
        </w:rPr>
      </w:pPr>
    </w:p>
    <w:p w14:paraId="3FA39EBF" w14:textId="5F0C310A" w:rsidR="00815819" w:rsidRDefault="00815819" w:rsidP="00F352C4">
      <w:pPr>
        <w:pStyle w:val="Heading1"/>
      </w:pPr>
      <w:bookmarkStart w:id="15" w:name="_Toc533411196"/>
      <w:r w:rsidRPr="008C75D3">
        <w:lastRenderedPageBreak/>
        <w:drawing>
          <wp:anchor distT="0" distB="0" distL="114300" distR="114300" simplePos="0" relativeHeight="251730944" behindDoc="1" locked="0" layoutInCell="1" allowOverlap="1" wp14:anchorId="030DD32B" wp14:editId="67479A3E">
            <wp:simplePos x="0" y="0"/>
            <wp:positionH relativeFrom="column">
              <wp:posOffset>3607</wp:posOffset>
            </wp:positionH>
            <wp:positionV relativeFrom="paragraph">
              <wp:posOffset>522308</wp:posOffset>
            </wp:positionV>
            <wp:extent cx="8779510" cy="45085"/>
            <wp:effectExtent l="0" t="0" r="889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779510" cy="45085"/>
                    </a:xfrm>
                    <a:prstGeom prst="rect">
                      <a:avLst/>
                    </a:prstGeom>
                  </pic:spPr>
                </pic:pic>
              </a:graphicData>
            </a:graphic>
            <wp14:sizeRelH relativeFrom="page">
              <wp14:pctWidth>0</wp14:pctWidth>
            </wp14:sizeRelH>
            <wp14:sizeRelV relativeFrom="page">
              <wp14:pctHeight>0</wp14:pctHeight>
            </wp14:sizeRelV>
          </wp:anchor>
        </w:drawing>
      </w:r>
      <w:r w:rsidR="00661EAA">
        <w:t>The</w:t>
      </w:r>
      <w:r w:rsidR="00321928">
        <w:t xml:space="preserve"> key issues</w:t>
      </w:r>
      <w:bookmarkEnd w:id="15"/>
    </w:p>
    <w:p w14:paraId="1BEED63A" w14:textId="6A9767D9" w:rsidR="00DE00C7" w:rsidRDefault="00734FBB">
      <w:r>
        <w:t>Having identifie</w:t>
      </w:r>
      <w:r w:rsidR="00861097">
        <w:t>d that total D</w:t>
      </w:r>
      <w:r w:rsidR="00F90153">
        <w:t>C</w:t>
      </w:r>
      <w:r w:rsidR="00861097">
        <w:t xml:space="preserve"> and FC incomes for local councils are</w:t>
      </w:r>
      <w:r>
        <w:t xml:space="preserve"> </w:t>
      </w:r>
      <w:r w:rsidR="00861097">
        <w:t xml:space="preserve">growing </w:t>
      </w:r>
      <w:r w:rsidR="00B51E11">
        <w:t xml:space="preserve">in </w:t>
      </w:r>
      <w:r w:rsidR="00186254">
        <w:t>significance</w:t>
      </w:r>
      <w:r w:rsidR="00336C54">
        <w:t>, this section aims to focus</w:t>
      </w:r>
      <w:r w:rsidR="00861097">
        <w:t xml:space="preserve"> more specifically </w:t>
      </w:r>
      <w:r w:rsidR="00F053E6">
        <w:t xml:space="preserve">on </w:t>
      </w:r>
      <w:r w:rsidR="00336C54">
        <w:t xml:space="preserve">how these charges operate at the </w:t>
      </w:r>
      <w:r w:rsidR="00861097">
        <w:t xml:space="preserve">individual development level. </w:t>
      </w:r>
    </w:p>
    <w:p w14:paraId="5B5A319F" w14:textId="5B3FD29A" w:rsidR="000468F0" w:rsidRDefault="00DB2FBC">
      <w:r>
        <w:t>We agree that the</w:t>
      </w:r>
      <w:r w:rsidR="00336C54">
        <w:t xml:space="preserve"> purpose and principles in the legislation </w:t>
      </w:r>
      <w:r w:rsidR="0016669F">
        <w:t xml:space="preserve">appear to be </w:t>
      </w:r>
      <w:r w:rsidR="00336C54">
        <w:t>sound. However, Foodstuffs</w:t>
      </w:r>
      <w:r w:rsidR="007502CE">
        <w:t xml:space="preserve"> has had concern for some time over</w:t>
      </w:r>
      <w:r w:rsidR="00336C54">
        <w:t xml:space="preserve"> </w:t>
      </w:r>
      <w:r w:rsidR="007502CE">
        <w:t>local council</w:t>
      </w:r>
      <w:r w:rsidR="00336C54">
        <w:t>s’</w:t>
      </w:r>
      <w:r w:rsidR="007502CE">
        <w:t xml:space="preserve"> adoption and application of these principles. </w:t>
      </w:r>
      <w:r w:rsidR="000468F0">
        <w:t>Foodstuffs has had a number of past development experiences where the</w:t>
      </w:r>
      <w:r w:rsidR="008B11CA">
        <w:t xml:space="preserve"> DC</w:t>
      </w:r>
      <w:r w:rsidR="000468F0">
        <w:t xml:space="preserve"> c</w:t>
      </w:r>
      <w:r w:rsidR="00336C54">
        <w:t>harging of the local council does not appear</w:t>
      </w:r>
      <w:r w:rsidR="000468F0">
        <w:t xml:space="preserve"> to have reflected the principles</w:t>
      </w:r>
      <w:r w:rsidR="00336C54">
        <w:t>,</w:t>
      </w:r>
      <w:r w:rsidR="000468F0">
        <w:t xml:space="preserve"> </w:t>
      </w:r>
      <w:r w:rsidR="00336C54">
        <w:t>creating</w:t>
      </w:r>
      <w:r w:rsidR="000468F0">
        <w:t xml:space="preserve"> concern for Foodstuffs over the effectiveness of the current system.</w:t>
      </w:r>
    </w:p>
    <w:p w14:paraId="4D214A69" w14:textId="40D36C70" w:rsidR="001155F6" w:rsidRDefault="007F630F" w:rsidP="00D564DB">
      <w:pPr>
        <w:spacing w:after="240"/>
      </w:pPr>
      <w:r>
        <w:t xml:space="preserve">By </w:t>
      </w:r>
      <w:r w:rsidR="008B11CA">
        <w:t>discussing</w:t>
      </w:r>
      <w:r w:rsidR="00336C54">
        <w:t xml:space="preserve"> and </w:t>
      </w:r>
      <w:r w:rsidR="00B9301E">
        <w:t xml:space="preserve">analysing Foodstuffs </w:t>
      </w:r>
      <w:r w:rsidR="003E67DC">
        <w:t xml:space="preserve">experiences and comparing them with the intended functions of DC contributions, </w:t>
      </w:r>
      <w:r w:rsidR="00CF38AB">
        <w:t xml:space="preserve">this section </w:t>
      </w:r>
      <w:r w:rsidR="004D778A">
        <w:t xml:space="preserve">reviews </w:t>
      </w:r>
      <w:r w:rsidR="003E67DC">
        <w:t>the key areas of concern we have identified with the current system.</w:t>
      </w:r>
      <w:r w:rsidR="00336C54">
        <w:t xml:space="preserve"> Using</w:t>
      </w:r>
      <w:r w:rsidR="003E67DC">
        <w:t xml:space="preserve"> supporting case studies from Foodstuffs past experiences, the following five key issues are discussed in turn</w:t>
      </w:r>
      <w:r w:rsidR="001155F6">
        <w:t>:</w:t>
      </w:r>
    </w:p>
    <w:p w14:paraId="74B6D14C" w14:textId="45ABC7FB" w:rsidR="001155F6" w:rsidRPr="001155F6" w:rsidRDefault="001155F6" w:rsidP="00D564DB">
      <w:pPr>
        <w:pStyle w:val="ListParagraph"/>
        <w:numPr>
          <w:ilvl w:val="0"/>
          <w:numId w:val="21"/>
        </w:numPr>
        <w:spacing w:after="120" w:line="276" w:lineRule="auto"/>
        <w:ind w:left="714" w:hanging="357"/>
        <w:contextualSpacing w:val="0"/>
        <w:rPr>
          <w:lang w:val="en-GB" w:eastAsia="zh-TW"/>
        </w:rPr>
      </w:pPr>
      <w:r w:rsidRPr="001155F6">
        <w:rPr>
          <w:lang w:val="en-GB" w:eastAsia="zh-TW"/>
        </w:rPr>
        <w:t>disproportionate charging;</w:t>
      </w:r>
    </w:p>
    <w:p w14:paraId="6A23B37C" w14:textId="47370D05" w:rsidR="001155F6" w:rsidRPr="001155F6" w:rsidRDefault="001155F6" w:rsidP="00D564DB">
      <w:pPr>
        <w:pStyle w:val="ListParagraph"/>
        <w:numPr>
          <w:ilvl w:val="0"/>
          <w:numId w:val="21"/>
        </w:numPr>
        <w:spacing w:after="120" w:line="276" w:lineRule="auto"/>
        <w:ind w:left="714" w:hanging="357"/>
        <w:contextualSpacing w:val="0"/>
        <w:rPr>
          <w:lang w:val="en-GB" w:eastAsia="zh-TW"/>
        </w:rPr>
      </w:pPr>
      <w:r w:rsidRPr="001155F6">
        <w:rPr>
          <w:lang w:val="en-GB" w:eastAsia="zh-TW"/>
        </w:rPr>
        <w:t>variation in charging;</w:t>
      </w:r>
    </w:p>
    <w:p w14:paraId="767830C8" w14:textId="47924555" w:rsidR="001155F6" w:rsidRPr="001155F6" w:rsidRDefault="001155F6" w:rsidP="00D564DB">
      <w:pPr>
        <w:pStyle w:val="ListParagraph"/>
        <w:numPr>
          <w:ilvl w:val="0"/>
          <w:numId w:val="21"/>
        </w:numPr>
        <w:spacing w:after="120" w:line="276" w:lineRule="auto"/>
        <w:ind w:left="714" w:hanging="357"/>
        <w:contextualSpacing w:val="0"/>
        <w:rPr>
          <w:lang w:val="en-GB" w:eastAsia="zh-TW"/>
        </w:rPr>
      </w:pPr>
      <w:r w:rsidRPr="001155F6">
        <w:rPr>
          <w:lang w:val="en-GB" w:eastAsia="zh-TW"/>
        </w:rPr>
        <w:t>timing of charging;</w:t>
      </w:r>
    </w:p>
    <w:p w14:paraId="517A9BBB" w14:textId="66CE75DA" w:rsidR="001155F6" w:rsidRPr="001155F6" w:rsidRDefault="001155F6" w:rsidP="00D564DB">
      <w:pPr>
        <w:pStyle w:val="ListParagraph"/>
        <w:numPr>
          <w:ilvl w:val="0"/>
          <w:numId w:val="21"/>
        </w:numPr>
        <w:spacing w:after="120" w:line="276" w:lineRule="auto"/>
        <w:ind w:left="714" w:hanging="357"/>
        <w:contextualSpacing w:val="0"/>
        <w:rPr>
          <w:lang w:val="en-GB" w:eastAsia="zh-TW"/>
        </w:rPr>
      </w:pPr>
      <w:r w:rsidRPr="001155F6">
        <w:rPr>
          <w:lang w:val="en-GB" w:eastAsia="zh-TW"/>
        </w:rPr>
        <w:t xml:space="preserve">lack of transparency; and </w:t>
      </w:r>
    </w:p>
    <w:p w14:paraId="2EA8C368" w14:textId="79DE8237" w:rsidR="001155F6" w:rsidRPr="001155F6" w:rsidRDefault="001155F6" w:rsidP="00D564DB">
      <w:pPr>
        <w:pStyle w:val="ListParagraph"/>
        <w:numPr>
          <w:ilvl w:val="0"/>
          <w:numId w:val="21"/>
        </w:numPr>
        <w:spacing w:after="240" w:line="276" w:lineRule="auto"/>
        <w:ind w:left="714" w:hanging="357"/>
        <w:rPr>
          <w:lang w:val="en-GB" w:eastAsia="zh-TW"/>
        </w:rPr>
      </w:pPr>
      <w:r w:rsidRPr="001155F6">
        <w:rPr>
          <w:lang w:val="en-GB" w:eastAsia="zh-TW"/>
        </w:rPr>
        <w:t xml:space="preserve">system reliability. </w:t>
      </w:r>
    </w:p>
    <w:p w14:paraId="17DFB5B9" w14:textId="4625BEE9" w:rsidR="004F4C9B" w:rsidRDefault="0016020C">
      <w:pPr>
        <w:rPr>
          <w:lang w:eastAsia="ja-JP"/>
        </w:rPr>
      </w:pPr>
      <w:r>
        <w:t xml:space="preserve">A number of these issues </w:t>
      </w:r>
      <w:r w:rsidR="00000C29">
        <w:t xml:space="preserve">are not new </w:t>
      </w:r>
      <w:r w:rsidR="00000C29">
        <w:rPr>
          <w:lang w:eastAsia="ja-JP"/>
        </w:rPr>
        <w:t>to the wider discussions on DCs</w:t>
      </w:r>
      <w:r w:rsidR="004457AC">
        <w:rPr>
          <w:lang w:eastAsia="ja-JP"/>
        </w:rPr>
        <w:t>. There is</w:t>
      </w:r>
      <w:r w:rsidR="00000C29">
        <w:rPr>
          <w:lang w:eastAsia="ja-JP"/>
        </w:rPr>
        <w:t xml:space="preserve"> significant crossover </w:t>
      </w:r>
      <w:r w:rsidR="00336C54">
        <w:rPr>
          <w:lang w:eastAsia="ja-JP"/>
        </w:rPr>
        <w:t>between the</w:t>
      </w:r>
      <w:r w:rsidR="00000C29">
        <w:rPr>
          <w:lang w:eastAsia="ja-JP"/>
        </w:rPr>
        <w:t xml:space="preserve"> major issues we have identified</w:t>
      </w:r>
      <w:r w:rsidR="00336C54">
        <w:rPr>
          <w:lang w:eastAsia="ja-JP"/>
        </w:rPr>
        <w:t xml:space="preserve"> that</w:t>
      </w:r>
      <w:r w:rsidR="00000C29">
        <w:rPr>
          <w:lang w:eastAsia="ja-JP"/>
        </w:rPr>
        <w:t xml:space="preserve"> Foodstuffs </w:t>
      </w:r>
      <w:r w:rsidR="00336C54">
        <w:rPr>
          <w:lang w:eastAsia="ja-JP"/>
        </w:rPr>
        <w:t>is</w:t>
      </w:r>
      <w:r w:rsidR="00000C29">
        <w:rPr>
          <w:lang w:eastAsia="ja-JP"/>
        </w:rPr>
        <w:t xml:space="preserve"> currently facing, and those identified by both the Productivity Commission in 2011</w:t>
      </w:r>
      <w:r w:rsidR="004457AC">
        <w:rPr>
          <w:lang w:eastAsia="ja-JP"/>
        </w:rPr>
        <w:t xml:space="preserve"> and the DIA in 2013. The continuation of these key themes in itself suggests that </w:t>
      </w:r>
      <w:r w:rsidR="00C047FA">
        <w:rPr>
          <w:lang w:eastAsia="ja-JP"/>
        </w:rPr>
        <w:t xml:space="preserve">while the 2014 amendment </w:t>
      </w:r>
      <w:r w:rsidR="00627B3B">
        <w:rPr>
          <w:lang w:eastAsia="ja-JP"/>
        </w:rPr>
        <w:t>to the LGA</w:t>
      </w:r>
      <w:r w:rsidR="00C047FA">
        <w:rPr>
          <w:lang w:eastAsia="ja-JP"/>
        </w:rPr>
        <w:t xml:space="preserve"> may have been a step in the right direction, further </w:t>
      </w:r>
      <w:r w:rsidR="004F4C9B">
        <w:rPr>
          <w:lang w:eastAsia="ja-JP"/>
        </w:rPr>
        <w:t xml:space="preserve">change may well </w:t>
      </w:r>
      <w:r w:rsidR="00336C54">
        <w:rPr>
          <w:lang w:eastAsia="ja-JP"/>
        </w:rPr>
        <w:t xml:space="preserve">be required in order for the legislated </w:t>
      </w:r>
      <w:r w:rsidR="004F4C9B">
        <w:rPr>
          <w:lang w:eastAsia="ja-JP"/>
        </w:rPr>
        <w:t xml:space="preserve">purpose of recovering a </w:t>
      </w:r>
      <w:r w:rsidR="00336C54">
        <w:rPr>
          <w:lang w:eastAsia="ja-JP"/>
        </w:rPr>
        <w:t>“</w:t>
      </w:r>
      <w:r w:rsidR="004F4C9B">
        <w:rPr>
          <w:lang w:eastAsia="ja-JP"/>
        </w:rPr>
        <w:t xml:space="preserve">fair, equitable and </w:t>
      </w:r>
      <w:r w:rsidR="004F4C9B" w:rsidRPr="00B710F6">
        <w:rPr>
          <w:lang w:eastAsia="ja-JP"/>
        </w:rPr>
        <w:t>proportionate</w:t>
      </w:r>
      <w:r w:rsidR="00336C54" w:rsidRPr="00B710F6">
        <w:rPr>
          <w:lang w:eastAsia="ja-JP"/>
        </w:rPr>
        <w:t>”</w:t>
      </w:r>
      <w:r w:rsidR="009E6751" w:rsidRPr="00B710F6">
        <w:rPr>
          <w:rStyle w:val="FootnoteReference"/>
          <w:sz w:val="20"/>
          <w:lang w:eastAsia="ja-JP"/>
        </w:rPr>
        <w:footnoteReference w:id="12"/>
      </w:r>
      <w:r w:rsidR="004F4C9B" w:rsidRPr="00B710F6">
        <w:rPr>
          <w:lang w:eastAsia="ja-JP"/>
        </w:rPr>
        <w:t xml:space="preserve"> portion</w:t>
      </w:r>
      <w:r w:rsidR="004F4C9B">
        <w:rPr>
          <w:lang w:eastAsia="ja-JP"/>
        </w:rPr>
        <w:t xml:space="preserve"> of </w:t>
      </w:r>
      <w:proofErr w:type="gramStart"/>
      <w:r w:rsidR="008B11CA">
        <w:rPr>
          <w:lang w:eastAsia="ja-JP"/>
        </w:rPr>
        <w:t>growth related</w:t>
      </w:r>
      <w:proofErr w:type="gramEnd"/>
      <w:r w:rsidR="008B11CA">
        <w:rPr>
          <w:lang w:eastAsia="ja-JP"/>
        </w:rPr>
        <w:t xml:space="preserve"> </w:t>
      </w:r>
      <w:r w:rsidR="004F4C9B">
        <w:rPr>
          <w:lang w:eastAsia="ja-JP"/>
        </w:rPr>
        <w:t>expenditure to be achieved.</w:t>
      </w:r>
    </w:p>
    <w:p w14:paraId="32650ECC" w14:textId="77777777" w:rsidR="00E7308A" w:rsidRDefault="00E7308A">
      <w:pPr>
        <w:rPr>
          <w:rFonts w:ascii="Open Sans Semibold" w:eastAsiaTheme="majorEastAsia" w:hAnsi="Open Sans Semibold"/>
          <w:b/>
          <w:bCs/>
          <w:color w:val="243A7E"/>
          <w:sz w:val="24"/>
          <w:szCs w:val="24"/>
          <w:lang w:val="en-GB" w:eastAsia="zh-TW"/>
        </w:rPr>
      </w:pPr>
      <w:r>
        <w:br w:type="page"/>
      </w:r>
    </w:p>
    <w:p w14:paraId="02FF865A" w14:textId="5B5A4DBC" w:rsidR="00304B4C" w:rsidRDefault="00092866" w:rsidP="001A767E">
      <w:pPr>
        <w:pStyle w:val="Heading2"/>
      </w:pPr>
      <w:bookmarkStart w:id="16" w:name="_Toc533411197"/>
      <w:r>
        <w:lastRenderedPageBreak/>
        <w:t>Disproportionate charging</w:t>
      </w:r>
      <w:bookmarkEnd w:id="16"/>
    </w:p>
    <w:p w14:paraId="6F36E7C0" w14:textId="71FE2539" w:rsidR="001168F8" w:rsidRDefault="00583210" w:rsidP="001168F8">
      <w:pPr>
        <w:rPr>
          <w:lang w:val="en-GB" w:eastAsia="zh-TW"/>
        </w:rPr>
      </w:pPr>
      <w:r>
        <w:rPr>
          <w:lang w:val="en-GB" w:eastAsia="zh-TW"/>
        </w:rPr>
        <w:t xml:space="preserve">The first key issue </w:t>
      </w:r>
      <w:r w:rsidR="000D1E8C">
        <w:rPr>
          <w:lang w:val="en-AU" w:eastAsia="ja-JP"/>
        </w:rPr>
        <w:t xml:space="preserve">with DC practices of councils we have </w:t>
      </w:r>
      <w:r w:rsidR="00F96F93">
        <w:rPr>
          <w:lang w:val="en-AU" w:eastAsia="ja-JP"/>
        </w:rPr>
        <w:t>identified</w:t>
      </w:r>
      <w:r w:rsidR="000D1E8C">
        <w:rPr>
          <w:lang w:val="en-AU" w:eastAsia="ja-JP"/>
        </w:rPr>
        <w:t xml:space="preserve"> is </w:t>
      </w:r>
      <w:r>
        <w:rPr>
          <w:lang w:val="en-GB" w:eastAsia="zh-TW"/>
        </w:rPr>
        <w:t xml:space="preserve">disproportionate </w:t>
      </w:r>
      <w:r w:rsidR="00B70EA2">
        <w:rPr>
          <w:lang w:val="en-GB" w:eastAsia="zh-TW"/>
        </w:rPr>
        <w:t xml:space="preserve">charging. </w:t>
      </w:r>
      <w:r w:rsidR="000D1E8C">
        <w:rPr>
          <w:lang w:val="en-GB" w:eastAsia="zh-TW"/>
        </w:rPr>
        <w:t>While</w:t>
      </w:r>
      <w:r w:rsidR="00B70EA2">
        <w:rPr>
          <w:lang w:val="en-GB" w:eastAsia="zh-TW"/>
        </w:rPr>
        <w:t xml:space="preserve"> </w:t>
      </w:r>
      <w:r w:rsidR="005617D5" w:rsidRPr="00195BA2">
        <w:rPr>
          <w:b/>
          <w:color w:val="273B78"/>
          <w:lang w:val="en-GB" w:eastAsia="zh-TW"/>
        </w:rPr>
        <w:t>Principle a</w:t>
      </w:r>
      <w:r w:rsidR="00804BA6">
        <w:rPr>
          <w:lang w:val="en-GB" w:eastAsia="zh-TW"/>
        </w:rPr>
        <w:t>,</w:t>
      </w:r>
      <w:r w:rsidR="005617D5">
        <w:rPr>
          <w:lang w:val="en-GB" w:eastAsia="zh-TW"/>
        </w:rPr>
        <w:t xml:space="preserve"> </w:t>
      </w:r>
      <w:r w:rsidR="005617D5" w:rsidRPr="00195BA2">
        <w:rPr>
          <w:b/>
          <w:color w:val="273B78"/>
          <w:lang w:val="en-GB" w:eastAsia="zh-TW"/>
        </w:rPr>
        <w:t>Principle b</w:t>
      </w:r>
      <w:r w:rsidR="00B70EA2" w:rsidRPr="00195BA2">
        <w:rPr>
          <w:color w:val="273B78"/>
          <w:lang w:val="en-GB" w:eastAsia="zh-TW"/>
        </w:rPr>
        <w:t xml:space="preserve"> </w:t>
      </w:r>
      <w:r w:rsidR="00177895">
        <w:rPr>
          <w:lang w:val="en-GB" w:eastAsia="zh-TW"/>
        </w:rPr>
        <w:t xml:space="preserve">and </w:t>
      </w:r>
      <w:r w:rsidR="00177895" w:rsidRPr="00195BA2">
        <w:rPr>
          <w:b/>
          <w:color w:val="273B78"/>
          <w:lang w:val="en-GB" w:eastAsia="zh-TW"/>
        </w:rPr>
        <w:t>Principle c</w:t>
      </w:r>
      <w:r w:rsidR="000D1E8C" w:rsidRPr="00195BA2">
        <w:rPr>
          <w:color w:val="273B78"/>
          <w:lang w:val="en-GB" w:eastAsia="zh-TW"/>
        </w:rPr>
        <w:t xml:space="preserve"> </w:t>
      </w:r>
      <w:r w:rsidR="000D1E8C">
        <w:rPr>
          <w:lang w:val="en-GB" w:eastAsia="zh-TW"/>
        </w:rPr>
        <w:t>of the act</w:t>
      </w:r>
      <w:r w:rsidR="00804BA6">
        <w:rPr>
          <w:lang w:val="en-GB" w:eastAsia="zh-TW"/>
        </w:rPr>
        <w:t xml:space="preserve"> </w:t>
      </w:r>
      <w:r w:rsidR="00283B45">
        <w:rPr>
          <w:lang w:val="en-GB" w:eastAsia="zh-TW"/>
        </w:rPr>
        <w:t>reflect</w:t>
      </w:r>
      <w:r w:rsidR="00B70EA2">
        <w:rPr>
          <w:lang w:val="en-GB" w:eastAsia="zh-TW"/>
        </w:rPr>
        <w:t xml:space="preserve"> the idea of</w:t>
      </w:r>
      <w:r w:rsidR="00804BA6">
        <w:rPr>
          <w:lang w:val="en-GB" w:eastAsia="zh-TW"/>
        </w:rPr>
        <w:t xml:space="preserve"> DC charges being</w:t>
      </w:r>
      <w:r w:rsidR="00B70EA2">
        <w:rPr>
          <w:lang w:val="en-GB" w:eastAsia="zh-TW"/>
        </w:rPr>
        <w:t xml:space="preserve"> proportiona</w:t>
      </w:r>
      <w:r w:rsidR="00804BA6">
        <w:rPr>
          <w:lang w:val="en-GB" w:eastAsia="zh-TW"/>
        </w:rPr>
        <w:t>te to actual impacts</w:t>
      </w:r>
      <w:r w:rsidR="00B70EA2">
        <w:rPr>
          <w:lang w:val="en-GB" w:eastAsia="zh-TW"/>
        </w:rPr>
        <w:t xml:space="preserve">, past </w:t>
      </w:r>
      <w:r w:rsidR="00B24C20">
        <w:rPr>
          <w:lang w:val="en-GB" w:eastAsia="zh-TW"/>
        </w:rPr>
        <w:t>development</w:t>
      </w:r>
      <w:r w:rsidR="00B70EA2">
        <w:rPr>
          <w:lang w:val="en-GB" w:eastAsia="zh-TW"/>
        </w:rPr>
        <w:t xml:space="preserve"> experienc</w:t>
      </w:r>
      <w:r w:rsidR="00B8556F">
        <w:rPr>
          <w:lang w:val="en-GB" w:eastAsia="zh-TW"/>
        </w:rPr>
        <w:t>es have shown that this is</w:t>
      </w:r>
      <w:r w:rsidR="00B70EA2">
        <w:rPr>
          <w:lang w:val="en-GB" w:eastAsia="zh-TW"/>
        </w:rPr>
        <w:t xml:space="preserve"> not</w:t>
      </w:r>
      <w:r w:rsidR="00B8556F">
        <w:rPr>
          <w:lang w:val="en-GB" w:eastAsia="zh-TW"/>
        </w:rPr>
        <w:t xml:space="preserve"> always</w:t>
      </w:r>
      <w:r w:rsidR="00B70EA2">
        <w:rPr>
          <w:lang w:val="en-GB" w:eastAsia="zh-TW"/>
        </w:rPr>
        <w:t xml:space="preserve"> the case. </w:t>
      </w:r>
    </w:p>
    <w:p w14:paraId="726C1CFA" w14:textId="3DE6F730" w:rsidR="001168F8" w:rsidRPr="001168F8" w:rsidRDefault="008F106E" w:rsidP="001168F8">
      <w:pPr>
        <w:rPr>
          <w:lang w:val="en-GB" w:eastAsia="zh-TW"/>
        </w:rPr>
      </w:pPr>
      <w:r>
        <w:rPr>
          <w:noProof/>
          <w:lang w:val="en-GB" w:eastAsia="zh-TW"/>
        </w:rPr>
        <mc:AlternateContent>
          <mc:Choice Requires="wps">
            <w:drawing>
              <wp:anchor distT="0" distB="0" distL="114300" distR="114300" simplePos="0" relativeHeight="251680767" behindDoc="1" locked="0" layoutInCell="1" allowOverlap="1" wp14:anchorId="0D850AF8" wp14:editId="5793C6D5">
                <wp:simplePos x="0" y="0"/>
                <wp:positionH relativeFrom="column">
                  <wp:posOffset>22860</wp:posOffset>
                </wp:positionH>
                <wp:positionV relativeFrom="paragraph">
                  <wp:posOffset>166370</wp:posOffset>
                </wp:positionV>
                <wp:extent cx="5721985" cy="2013585"/>
                <wp:effectExtent l="0" t="0" r="5715" b="5715"/>
                <wp:wrapTopAndBottom/>
                <wp:docPr id="37" name="Rectangle 37"/>
                <wp:cNvGraphicFramePr/>
                <a:graphic xmlns:a="http://schemas.openxmlformats.org/drawingml/2006/main">
                  <a:graphicData uri="http://schemas.microsoft.com/office/word/2010/wordprocessingShape">
                    <wps:wsp>
                      <wps:cNvSpPr/>
                      <wps:spPr>
                        <a:xfrm>
                          <a:off x="0" y="0"/>
                          <a:ext cx="5721985" cy="2013585"/>
                        </a:xfrm>
                        <a:prstGeom prst="rect">
                          <a:avLst/>
                        </a:prstGeom>
                        <a:solidFill>
                          <a:srgbClr val="85AEDC">
                            <a:alpha val="3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83945" w14:textId="3AB9E0FF" w:rsidR="005A4AFA" w:rsidRPr="00CC77BF" w:rsidRDefault="005A4AFA" w:rsidP="00B24C20">
                            <w:pPr>
                              <w:rPr>
                                <w:rFonts w:cs="Open Sans"/>
                                <w:i/>
                                <w:color w:val="000000" w:themeColor="text1"/>
                                <w:lang w:val="en-GB" w:eastAsia="zh-TW"/>
                              </w:rPr>
                            </w:pPr>
                            <w:r w:rsidRPr="00CC77BF">
                              <w:rPr>
                                <w:b/>
                                <w:i/>
                                <w:color w:val="183F7C"/>
                                <w:lang w:val="en-GB" w:eastAsia="ja-JP"/>
                              </w:rPr>
                              <w:t xml:space="preserve">Principle a: </w:t>
                            </w:r>
                            <w:r w:rsidRPr="00CC77BF">
                              <w:rPr>
                                <w:rFonts w:cs="Open Sans"/>
                                <w:i/>
                                <w:color w:val="000000" w:themeColor="text1"/>
                                <w:lang w:val="en-GB" w:eastAsia="zh-TW"/>
                              </w:rPr>
                              <w:t>development contributions should only be required if the effects or cumulative effects of developments will create or have created a requirement for the territorial authority to provide or to have provided new or additional assets or assets of increased capacity;</w:t>
                            </w:r>
                          </w:p>
                          <w:p w14:paraId="3169F8DD" w14:textId="1897AF9E" w:rsidR="005A4AFA" w:rsidRPr="00CC77BF" w:rsidRDefault="005A4AFA" w:rsidP="00B24C20">
                            <w:pPr>
                              <w:rPr>
                                <w:rFonts w:cs="Open Sans"/>
                                <w:i/>
                                <w:color w:val="000000" w:themeColor="text1"/>
                                <w:lang w:val="en-GB" w:eastAsia="zh-TW"/>
                              </w:rPr>
                            </w:pPr>
                            <w:r w:rsidRPr="00CC77BF">
                              <w:rPr>
                                <w:b/>
                                <w:i/>
                                <w:color w:val="183F7C"/>
                                <w:lang w:val="en-GB" w:eastAsia="ja-JP"/>
                              </w:rPr>
                              <w:t xml:space="preserve">Principle b: </w:t>
                            </w:r>
                            <w:r w:rsidRPr="00CC77BF">
                              <w:rPr>
                                <w:rFonts w:cs="Open Sans"/>
                                <w:i/>
                                <w:color w:val="000000" w:themeColor="text1"/>
                                <w:lang w:val="en-GB" w:eastAsia="zh-TW"/>
                              </w:rPr>
                              <w:t>development contributions should be determined in a manner that is generally consistent with the capacity life of the assets for which they are intended to be used and in a way that avoids over-recovery of costs allocated to development contribution funding;</w:t>
                            </w:r>
                          </w:p>
                          <w:p w14:paraId="2F237B27" w14:textId="77777777" w:rsidR="005A4AFA" w:rsidRPr="00CC77BF" w:rsidRDefault="005A4AFA" w:rsidP="00804BA6">
                            <w:pPr>
                              <w:rPr>
                                <w:rFonts w:cs="Open Sans"/>
                                <w:i/>
                                <w:color w:val="000000" w:themeColor="text1"/>
                                <w:lang w:val="en-GB" w:eastAsia="zh-TW"/>
                              </w:rPr>
                            </w:pPr>
                            <w:r w:rsidRPr="00CC77BF">
                              <w:rPr>
                                <w:b/>
                                <w:i/>
                                <w:color w:val="183F7C"/>
                                <w:lang w:val="en-GB" w:eastAsia="ja-JP"/>
                              </w:rPr>
                              <w:t xml:space="preserve">Principle c: </w:t>
                            </w:r>
                            <w:r w:rsidRPr="00CC77BF">
                              <w:rPr>
                                <w:rFonts w:cs="Open Sans"/>
                                <w:i/>
                                <w:color w:val="000000" w:themeColor="text1"/>
                                <w:lang w:val="en-GB" w:eastAsia="zh-TW"/>
                              </w:rPr>
                              <w:t>cost allocations used to establish development contributions should be determined according to, and be proportional to, the persons who will benefit from the assets to be provided (including the community as a whole) as well as those who create the need for those assets;</w:t>
                            </w:r>
                          </w:p>
                          <w:p w14:paraId="434452A6" w14:textId="77777777" w:rsidR="005A4AFA" w:rsidRPr="00CC77BF" w:rsidRDefault="005A4AFA" w:rsidP="00B24C20">
                            <w:pPr>
                              <w:rPr>
                                <w:rFonts w:cs="Open Sans"/>
                                <w:i/>
                                <w:color w:val="000000" w:themeColor="text1"/>
                                <w:lang w:val="en-GB" w:eastAsia="zh-TW"/>
                              </w:rPr>
                            </w:pPr>
                          </w:p>
                          <w:p w14:paraId="2CC3DF46" w14:textId="5CD0FC34" w:rsidR="005A4AFA" w:rsidRPr="00CC77BF" w:rsidRDefault="005A4AFA" w:rsidP="00B24C20">
                            <w:pPr>
                              <w:jc w:val="center"/>
                              <w:rPr>
                                <w:i/>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50AF8" id="Rectangle 37" o:spid="_x0000_s1028" style="position:absolute;left:0;text-align:left;margin-left:1.8pt;margin-top:13.1pt;width:450.55pt;height:158.55pt;z-index:-251635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" fillcolor="#85aedc" stroked="f" strokeweight="2pt">
                <v:fill opacity="22359f"/>
                <v:textbox>
                  <w:txbxContent>
                    <w:p w14:paraId="58683945" w14:textId="3AB9E0FF" w:rsidR="005A4AFA" w:rsidRPr="00CC77BF" w:rsidRDefault="005A4AFA" w:rsidP="00B24C20">
                      <w:pPr>
                        <w:rPr>
                          <w:rFonts w:cs="Open Sans"/>
                          <w:i/>
                          <w:color w:val="000000" w:themeColor="text1"/>
                          <w:lang w:val="en-GB" w:eastAsia="zh-TW"/>
                        </w:rPr>
                      </w:pPr>
                      <w:r w:rsidRPr="00CC77BF">
                        <w:rPr>
                          <w:b/>
                          <w:i/>
                          <w:color w:val="183F7C"/>
                          <w:lang w:val="en-GB" w:eastAsia="ja-JP"/>
                        </w:rPr>
                        <w:t xml:space="preserve">Principle a: </w:t>
                      </w:r>
                      <w:r w:rsidRPr="00CC77BF">
                        <w:rPr>
                          <w:rFonts w:cs="Open Sans"/>
                          <w:i/>
                          <w:color w:val="000000" w:themeColor="text1"/>
                          <w:lang w:val="en-GB" w:eastAsia="zh-TW"/>
                        </w:rPr>
                        <w:t>development contributions should only be required if the effects or cumulative effects of developments will create or have created a requirement for the territorial authority to provide or to have provided new or additional assets or assets of increased capacity;</w:t>
                      </w:r>
                    </w:p>
                    <w:p w14:paraId="3169F8DD" w14:textId="1897AF9E" w:rsidR="005A4AFA" w:rsidRPr="00CC77BF" w:rsidRDefault="005A4AFA" w:rsidP="00B24C20">
                      <w:pPr>
                        <w:rPr>
                          <w:rFonts w:cs="Open Sans"/>
                          <w:i/>
                          <w:color w:val="000000" w:themeColor="text1"/>
                          <w:lang w:val="en-GB" w:eastAsia="zh-TW"/>
                        </w:rPr>
                      </w:pPr>
                      <w:r w:rsidRPr="00CC77BF">
                        <w:rPr>
                          <w:b/>
                          <w:i/>
                          <w:color w:val="183F7C"/>
                          <w:lang w:val="en-GB" w:eastAsia="ja-JP"/>
                        </w:rPr>
                        <w:t xml:space="preserve">Principle b: </w:t>
                      </w:r>
                      <w:r w:rsidRPr="00CC77BF">
                        <w:rPr>
                          <w:rFonts w:cs="Open Sans"/>
                          <w:i/>
                          <w:color w:val="000000" w:themeColor="text1"/>
                          <w:lang w:val="en-GB" w:eastAsia="zh-TW"/>
                        </w:rPr>
                        <w:t>development contributions should be determined in a manner that is generally consistent with the capacity life of the assets for which they are intended to be used and in a way that avoids over-recovery of costs allocated to development contribution funding;</w:t>
                      </w:r>
                    </w:p>
                    <w:p w14:paraId="2F237B27" w14:textId="77777777" w:rsidR="005A4AFA" w:rsidRPr="00CC77BF" w:rsidRDefault="005A4AFA" w:rsidP="00804BA6">
                      <w:pPr>
                        <w:rPr>
                          <w:rFonts w:cs="Open Sans"/>
                          <w:i/>
                          <w:color w:val="000000" w:themeColor="text1"/>
                          <w:lang w:val="en-GB" w:eastAsia="zh-TW"/>
                        </w:rPr>
                      </w:pPr>
                      <w:r w:rsidRPr="00CC77BF">
                        <w:rPr>
                          <w:b/>
                          <w:i/>
                          <w:color w:val="183F7C"/>
                          <w:lang w:val="en-GB" w:eastAsia="ja-JP"/>
                        </w:rPr>
                        <w:t xml:space="preserve">Principle c: </w:t>
                      </w:r>
                      <w:r w:rsidRPr="00CC77BF">
                        <w:rPr>
                          <w:rFonts w:cs="Open Sans"/>
                          <w:i/>
                          <w:color w:val="000000" w:themeColor="text1"/>
                          <w:lang w:val="en-GB" w:eastAsia="zh-TW"/>
                        </w:rPr>
                        <w:t>cost allocations used to establish development contributions should be determined according to, and be proportional to, the persons who will benefit from the assets to be provided (including the community as a whole) as well as those who create the need for those assets;</w:t>
                      </w:r>
                    </w:p>
                    <w:p w14:paraId="434452A6" w14:textId="77777777" w:rsidR="005A4AFA" w:rsidRPr="00CC77BF" w:rsidRDefault="005A4AFA" w:rsidP="00B24C20">
                      <w:pPr>
                        <w:rPr>
                          <w:rFonts w:cs="Open Sans"/>
                          <w:i/>
                          <w:color w:val="000000" w:themeColor="text1"/>
                          <w:lang w:val="en-GB" w:eastAsia="zh-TW"/>
                        </w:rPr>
                      </w:pPr>
                    </w:p>
                    <w:p w14:paraId="2CC3DF46" w14:textId="5CD0FC34" w:rsidR="005A4AFA" w:rsidRPr="00CC77BF" w:rsidRDefault="005A4AFA" w:rsidP="00B24C20">
                      <w:pPr>
                        <w:jc w:val="center"/>
                        <w:rPr>
                          <w:i/>
                          <w:lang w:val="en-GB"/>
                        </w:rPr>
                      </w:pPr>
                    </w:p>
                  </w:txbxContent>
                </v:textbox>
                <w10:wrap type="topAndBottom"/>
              </v:rect>
            </w:pict>
          </mc:Fallback>
        </mc:AlternateContent>
      </w:r>
    </w:p>
    <w:p w14:paraId="39299638" w14:textId="77777777" w:rsidR="008C0A9C" w:rsidRDefault="008C0A9C" w:rsidP="001168F8">
      <w:pPr>
        <w:rPr>
          <w:lang w:val="en-AU" w:eastAsia="zh-TW"/>
        </w:rPr>
      </w:pPr>
    </w:p>
    <w:p w14:paraId="3E95F14A" w14:textId="5B3FC9B2" w:rsidR="000467C2" w:rsidRDefault="00D04DFB" w:rsidP="001168F8">
      <w:pPr>
        <w:rPr>
          <w:lang w:val="en-AU" w:eastAsia="zh-TW"/>
        </w:rPr>
      </w:pPr>
      <w:r>
        <w:rPr>
          <w:lang w:val="en-AU" w:eastAsia="zh-TW"/>
        </w:rPr>
        <w:t>The Development Contributions Objections Commissioners’ Manual</w:t>
      </w:r>
      <w:r w:rsidR="00D959FE">
        <w:rPr>
          <w:lang w:val="en-AU" w:eastAsia="zh-TW"/>
        </w:rPr>
        <w:t xml:space="preserve"> (DC manual)</w:t>
      </w:r>
      <w:r>
        <w:rPr>
          <w:lang w:val="en-AU" w:eastAsia="zh-TW"/>
        </w:rPr>
        <w:t xml:space="preserve"> produced by the DIA in 2014 </w:t>
      </w:r>
      <w:r w:rsidR="00B01C5B">
        <w:rPr>
          <w:lang w:val="en-AU" w:eastAsia="zh-TW"/>
        </w:rPr>
        <w:t xml:space="preserve">gives further explanation of the intended purpose and principles surrounding DCs. </w:t>
      </w:r>
      <w:r w:rsidR="00D959FE">
        <w:rPr>
          <w:lang w:val="en-AU" w:eastAsia="zh-TW"/>
        </w:rPr>
        <w:t xml:space="preserve">In reference to </w:t>
      </w:r>
      <w:r w:rsidR="00195BA2" w:rsidRPr="00195BA2">
        <w:rPr>
          <w:b/>
          <w:color w:val="273B78"/>
          <w:lang w:val="en-GB" w:eastAsia="zh-TW"/>
        </w:rPr>
        <w:t>Principle a</w:t>
      </w:r>
      <w:r w:rsidR="000467C2">
        <w:rPr>
          <w:lang w:val="en-AU" w:eastAsia="zh-TW"/>
        </w:rPr>
        <w:t>, it states that:</w:t>
      </w:r>
    </w:p>
    <w:p w14:paraId="26613109" w14:textId="16CFD150" w:rsidR="000467C2" w:rsidRPr="000467C2" w:rsidRDefault="000467C2" w:rsidP="006F6EBF">
      <w:pPr>
        <w:rPr>
          <w:i/>
          <w:lang w:val="en-AU" w:eastAsia="zh-TW"/>
        </w:rPr>
      </w:pPr>
      <w:r w:rsidRPr="000467C2">
        <w:rPr>
          <w:i/>
          <w:lang w:val="en-AU" w:eastAsia="zh-TW"/>
        </w:rPr>
        <w:t>“</w:t>
      </w:r>
      <w:r w:rsidR="00D959FE" w:rsidRPr="000467C2">
        <w:rPr>
          <w:i/>
          <w:lang w:val="en-AU" w:eastAsia="zh-TW"/>
        </w:rPr>
        <w:t>a DC can only be required if the effects of a development results in territorial authority expenditure or new, additional or expanded infrastructure. If no effect can be demonstrated, the</w:t>
      </w:r>
      <w:r>
        <w:rPr>
          <w:i/>
          <w:lang w:val="en-AU" w:eastAsia="zh-TW"/>
        </w:rPr>
        <w:t>n a DC should not be require</w:t>
      </w:r>
      <w:r w:rsidRPr="00B710F6">
        <w:rPr>
          <w:i/>
          <w:lang w:val="en-AU" w:eastAsia="zh-TW"/>
        </w:rPr>
        <w:t>d.”</w:t>
      </w:r>
      <w:r w:rsidRPr="00B710F6">
        <w:rPr>
          <w:rStyle w:val="FootnoteReference"/>
          <w:i/>
          <w:sz w:val="20"/>
          <w:lang w:val="en-AU" w:eastAsia="zh-TW"/>
        </w:rPr>
        <w:footnoteReference w:id="13"/>
      </w:r>
    </w:p>
    <w:p w14:paraId="7161D8A0" w14:textId="4342F7C9" w:rsidR="00D959FE" w:rsidRDefault="005E7434" w:rsidP="006F6EBF">
      <w:pPr>
        <w:rPr>
          <w:lang w:val="en-AU" w:eastAsia="zh-TW"/>
        </w:rPr>
      </w:pPr>
      <w:r>
        <w:rPr>
          <w:lang w:val="en-AU" w:eastAsia="zh-TW"/>
        </w:rPr>
        <w:t xml:space="preserve">This relationship is often referred to as the causal nexus – the </w:t>
      </w:r>
      <w:r w:rsidR="00E328D1">
        <w:rPr>
          <w:lang w:val="en-AU" w:eastAsia="zh-TW"/>
        </w:rPr>
        <w:t xml:space="preserve">link between the impact of the development on infrastructure and the DCs the developer is charged accordingly.  </w:t>
      </w:r>
    </w:p>
    <w:p w14:paraId="403B1F9A" w14:textId="02E6F3D1" w:rsidR="007774F9" w:rsidRPr="00BD1587" w:rsidRDefault="00D44B4D" w:rsidP="00BD1587">
      <w:pPr>
        <w:rPr>
          <w:lang w:val="en-AU" w:eastAsia="zh-TW"/>
        </w:rPr>
      </w:pPr>
      <w:r>
        <w:rPr>
          <w:lang w:val="en-AU" w:eastAsia="zh-TW"/>
        </w:rPr>
        <w:t>Foodstuffs</w:t>
      </w:r>
      <w:r w:rsidR="00AC19A1">
        <w:rPr>
          <w:lang w:val="en-AU" w:eastAsia="zh-TW"/>
        </w:rPr>
        <w:t>’</w:t>
      </w:r>
      <w:r>
        <w:rPr>
          <w:lang w:val="en-AU" w:eastAsia="zh-TW"/>
        </w:rPr>
        <w:t xml:space="preserve"> recent experience with a </w:t>
      </w:r>
      <w:r w:rsidR="00CC77BF">
        <w:rPr>
          <w:lang w:val="en-AU" w:eastAsia="zh-TW"/>
        </w:rPr>
        <w:t xml:space="preserve">supermarket </w:t>
      </w:r>
      <w:r>
        <w:rPr>
          <w:lang w:val="en-AU" w:eastAsia="zh-TW"/>
        </w:rPr>
        <w:t xml:space="preserve">development in Queenstown </w:t>
      </w:r>
      <w:r w:rsidR="00B8556F">
        <w:rPr>
          <w:lang w:val="en-AU" w:eastAsia="zh-TW"/>
        </w:rPr>
        <w:t>highlights</w:t>
      </w:r>
      <w:r>
        <w:rPr>
          <w:lang w:val="en-AU" w:eastAsia="zh-TW"/>
        </w:rPr>
        <w:t xml:space="preserve"> </w:t>
      </w:r>
      <w:proofErr w:type="gramStart"/>
      <w:r>
        <w:rPr>
          <w:lang w:val="en-AU" w:eastAsia="zh-TW"/>
        </w:rPr>
        <w:t>a number of</w:t>
      </w:r>
      <w:proofErr w:type="gramEnd"/>
      <w:r>
        <w:rPr>
          <w:lang w:val="en-AU" w:eastAsia="zh-TW"/>
        </w:rPr>
        <w:t xml:space="preserve"> proportionality issues </w:t>
      </w:r>
      <w:r w:rsidR="000467C2">
        <w:rPr>
          <w:lang w:val="en-AU" w:eastAsia="zh-TW"/>
        </w:rPr>
        <w:t>with DC charging</w:t>
      </w:r>
      <w:r>
        <w:rPr>
          <w:lang w:val="en-AU" w:eastAsia="zh-TW"/>
        </w:rPr>
        <w:t xml:space="preserve">. </w:t>
      </w:r>
      <w:r w:rsidR="00AC19A1">
        <w:rPr>
          <w:lang w:val="en-AU" w:eastAsia="zh-TW"/>
        </w:rPr>
        <w:t>D</w:t>
      </w:r>
      <w:r w:rsidR="00B8556F">
        <w:rPr>
          <w:lang w:val="en-AU" w:eastAsia="zh-TW"/>
        </w:rPr>
        <w:t>etails of the Queenstown case</w:t>
      </w:r>
      <w:r w:rsidR="00AC19A1">
        <w:rPr>
          <w:lang w:val="en-AU" w:eastAsia="zh-TW"/>
        </w:rPr>
        <w:t xml:space="preserve"> are provided </w:t>
      </w:r>
      <w:r w:rsidR="00B8556F">
        <w:rPr>
          <w:lang w:val="en-AU" w:eastAsia="zh-TW"/>
        </w:rPr>
        <w:t xml:space="preserve">in the case </w:t>
      </w:r>
      <w:r w:rsidR="00F96F93">
        <w:rPr>
          <w:lang w:val="en-AU" w:eastAsia="zh-TW"/>
        </w:rPr>
        <w:t xml:space="preserve">study on the following page. </w:t>
      </w:r>
    </w:p>
    <w:tbl>
      <w:tblPr>
        <w:tblStyle w:val="TableGrid"/>
        <w:tblW w:w="0" w:type="auto"/>
        <w:tblLook w:val="04A0" w:firstRow="1" w:lastRow="0" w:firstColumn="1" w:lastColumn="0" w:noHBand="0" w:noVBand="1"/>
      </w:tblPr>
      <w:tblGrid>
        <w:gridCol w:w="8952"/>
      </w:tblGrid>
      <w:tr w:rsidR="00281016" w14:paraId="26573981" w14:textId="77777777" w:rsidTr="00145479">
        <w:trPr>
          <w:trHeight w:val="9581"/>
        </w:trPr>
        <w:tc>
          <w:tcPr>
            <w:tcW w:w="8952" w:type="dxa"/>
            <w:tcBorders>
              <w:top w:val="single" w:sz="12" w:space="0" w:color="85AEDC"/>
              <w:left w:val="single" w:sz="12" w:space="0" w:color="85AEDC"/>
              <w:bottom w:val="single" w:sz="12" w:space="0" w:color="85AEDC"/>
              <w:right w:val="single" w:sz="12" w:space="0" w:color="85AEDC"/>
            </w:tcBorders>
          </w:tcPr>
          <w:p w14:paraId="781D69F5" w14:textId="7B799E5D" w:rsidR="00281016" w:rsidRPr="00281016" w:rsidRDefault="00281016" w:rsidP="00145479">
            <w:pPr>
              <w:pStyle w:val="Caption"/>
              <w:spacing w:before="160" w:after="160"/>
              <w:ind w:left="22" w:right="71"/>
              <w:jc w:val="left"/>
            </w:pPr>
            <w:bookmarkStart w:id="17" w:name="_Toc533411223"/>
            <w:r>
              <w:lastRenderedPageBreak/>
              <w:t xml:space="preserve">Case study </w:t>
            </w:r>
            <w:r w:rsidR="00973951">
              <w:rPr>
                <w:noProof/>
              </w:rPr>
              <w:fldChar w:fldCharType="begin"/>
            </w:r>
            <w:r w:rsidR="00973951">
              <w:rPr>
                <w:rFonts w:eastAsia="MS Mincho" w:cstheme="minorBidi"/>
                <w:noProof/>
                <w:lang w:eastAsia="en-US"/>
              </w:rPr>
              <w:instrText xml:space="preserve"> SEQ Case_study \* ARABIC </w:instrText>
            </w:r>
            <w:r w:rsidR="00973951">
              <w:rPr>
                <w:noProof/>
              </w:rPr>
              <w:fldChar w:fldCharType="separate"/>
            </w:r>
            <w:r w:rsidR="0034416C">
              <w:rPr>
                <w:rFonts w:eastAsia="MS Mincho" w:cstheme="minorBidi"/>
                <w:noProof/>
                <w:lang w:eastAsia="en-US"/>
              </w:rPr>
              <w:t>1</w:t>
            </w:r>
            <w:r w:rsidR="00973951">
              <w:rPr>
                <w:noProof/>
              </w:rPr>
              <w:fldChar w:fldCharType="end"/>
            </w:r>
            <w:r>
              <w:t xml:space="preserve">: Queenstown </w:t>
            </w:r>
            <w:proofErr w:type="spellStart"/>
            <w:r>
              <w:t>PAK’nSAVE</w:t>
            </w:r>
            <w:bookmarkEnd w:id="17"/>
            <w:proofErr w:type="spellEnd"/>
          </w:p>
          <w:p w14:paraId="6A9EDBD7" w14:textId="10B4EFC6" w:rsidR="00281016" w:rsidRPr="00281016" w:rsidRDefault="00281016" w:rsidP="00145479">
            <w:pPr>
              <w:spacing w:after="200" w:line="276" w:lineRule="auto"/>
              <w:ind w:left="22" w:right="71"/>
              <w:rPr>
                <w:rFonts w:cstheme="minorBidi"/>
                <w:lang w:val="en-AU" w:eastAsia="zh-TW"/>
              </w:rPr>
            </w:pPr>
            <w:r w:rsidRPr="00281016">
              <w:rPr>
                <w:rFonts w:cstheme="minorBidi"/>
                <w:lang w:val="en-AU" w:eastAsia="zh-TW"/>
              </w:rPr>
              <w:t xml:space="preserve">In 2010 Foodstuffs South Island purchased 302 Hawthorne Drive (Frankton, Queenstown) from the subdividing developer, </w:t>
            </w:r>
            <w:proofErr w:type="spellStart"/>
            <w:r w:rsidRPr="00281016">
              <w:rPr>
                <w:rFonts w:cstheme="minorBidi"/>
                <w:lang w:val="en-AU" w:eastAsia="zh-TW"/>
              </w:rPr>
              <w:t>Shotover</w:t>
            </w:r>
            <w:proofErr w:type="spellEnd"/>
            <w:r w:rsidRPr="00281016">
              <w:rPr>
                <w:rFonts w:cstheme="minorBidi"/>
                <w:lang w:val="en-AU" w:eastAsia="zh-TW"/>
              </w:rPr>
              <w:t xml:space="preserve"> Park Ltd (SPL). Foodstuffs worked with SPL to develop the land as a </w:t>
            </w:r>
            <w:proofErr w:type="spellStart"/>
            <w:r w:rsidRPr="00281016">
              <w:rPr>
                <w:rFonts w:cstheme="minorBidi"/>
                <w:lang w:val="en-AU" w:eastAsia="zh-TW"/>
              </w:rPr>
              <w:t>PAK’nSAVE</w:t>
            </w:r>
            <w:proofErr w:type="spellEnd"/>
            <w:r w:rsidRPr="00281016">
              <w:rPr>
                <w:rFonts w:cstheme="minorBidi"/>
                <w:lang w:val="en-AU" w:eastAsia="zh-TW"/>
              </w:rPr>
              <w:t xml:space="preserve"> supermarket, which was completed in late 2016. As part of building consent BC150563 for the development, SPL was required by Queenstown Lakes District Council (QLDC) to design an on-site stormwater system, with the ability to handle a 1 in </w:t>
            </w:r>
            <w:proofErr w:type="gramStart"/>
            <w:r w:rsidRPr="00281016">
              <w:rPr>
                <w:rFonts w:cstheme="minorBidi"/>
                <w:lang w:val="en-AU" w:eastAsia="zh-TW"/>
              </w:rPr>
              <w:t>20 year</w:t>
            </w:r>
            <w:proofErr w:type="gramEnd"/>
            <w:r w:rsidRPr="00281016">
              <w:rPr>
                <w:rFonts w:cstheme="minorBidi"/>
                <w:lang w:val="en-AU" w:eastAsia="zh-TW"/>
              </w:rPr>
              <w:t xml:space="preserve"> storm. This on-site system disposes of stormwater for the supermarket in almost all cases (with the exception of a 1 in </w:t>
            </w:r>
            <w:proofErr w:type="gramStart"/>
            <w:r w:rsidR="004828B1">
              <w:rPr>
                <w:rFonts w:cstheme="minorBidi"/>
                <w:lang w:val="en-AU" w:eastAsia="zh-TW"/>
              </w:rPr>
              <w:t>20</w:t>
            </w:r>
            <w:r w:rsidR="00540DA0">
              <w:rPr>
                <w:rFonts w:cstheme="minorBidi"/>
                <w:lang w:val="en-AU" w:eastAsia="zh-TW"/>
              </w:rPr>
              <w:t xml:space="preserve"> </w:t>
            </w:r>
            <w:r w:rsidRPr="00281016">
              <w:rPr>
                <w:rFonts w:cstheme="minorBidi"/>
                <w:lang w:val="en-AU" w:eastAsia="zh-TW"/>
              </w:rPr>
              <w:t>year</w:t>
            </w:r>
            <w:proofErr w:type="gramEnd"/>
            <w:r w:rsidRPr="00281016">
              <w:rPr>
                <w:rFonts w:cstheme="minorBidi"/>
                <w:lang w:val="en-AU" w:eastAsia="zh-TW"/>
              </w:rPr>
              <w:t xml:space="preserve"> storm incident), SPL also provided water and wastewater connections to the site, a cost passed on to Foodstuffs.</w:t>
            </w:r>
          </w:p>
          <w:p w14:paraId="6B64B5EC" w14:textId="5EF5468A" w:rsidR="00281016" w:rsidRDefault="00281016" w:rsidP="00145479">
            <w:pPr>
              <w:spacing w:after="200" w:line="276" w:lineRule="auto"/>
              <w:ind w:left="22" w:right="71"/>
              <w:rPr>
                <w:rFonts w:cstheme="minorBidi"/>
                <w:lang w:val="en-AU" w:eastAsia="zh-TW"/>
              </w:rPr>
            </w:pPr>
            <w:r w:rsidRPr="00281016">
              <w:rPr>
                <w:rFonts w:cstheme="minorBidi"/>
                <w:lang w:val="en-AU" w:eastAsia="zh-TW"/>
              </w:rPr>
              <w:t xml:space="preserve">On June 14th, 2016, QLDC issued a development contribution notice in respect of building </w:t>
            </w:r>
            <w:proofErr w:type="gramStart"/>
            <w:r w:rsidRPr="00281016">
              <w:rPr>
                <w:rFonts w:cstheme="minorBidi"/>
                <w:lang w:val="en-AU" w:eastAsia="zh-TW"/>
              </w:rPr>
              <w:t>consent  BC</w:t>
            </w:r>
            <w:proofErr w:type="gramEnd"/>
            <w:r w:rsidRPr="00281016">
              <w:rPr>
                <w:rFonts w:cstheme="minorBidi"/>
                <w:lang w:val="en-AU" w:eastAsia="zh-TW"/>
              </w:rPr>
              <w:t xml:space="preserve">150563 for the </w:t>
            </w:r>
            <w:proofErr w:type="spellStart"/>
            <w:r w:rsidRPr="00281016">
              <w:rPr>
                <w:rFonts w:cstheme="minorBidi"/>
                <w:lang w:val="en-AU" w:eastAsia="zh-TW"/>
              </w:rPr>
              <w:t>PAK’nSAVE</w:t>
            </w:r>
            <w:proofErr w:type="spellEnd"/>
            <w:r w:rsidRPr="00281016">
              <w:rPr>
                <w:rFonts w:cstheme="minorBidi"/>
                <w:lang w:val="en-AU" w:eastAsia="zh-TW"/>
              </w:rPr>
              <w:t>. The DC Notice was assessed under QLDC’s 2015/16 DC policy. The assessed</w:t>
            </w:r>
            <w:r w:rsidRPr="00281016">
              <w:rPr>
                <w:rFonts w:cstheme="minorBidi" w:hint="eastAsia"/>
                <w:lang w:val="en-AU" w:eastAsia="zh-TW"/>
              </w:rPr>
              <w:t xml:space="preserve"> </w:t>
            </w:r>
            <w:r w:rsidRPr="00281016">
              <w:rPr>
                <w:rFonts w:cstheme="minorBidi"/>
                <w:lang w:val="en-AU" w:eastAsia="zh-TW"/>
              </w:rPr>
              <w:t>charges are shown in Table 4 below:</w:t>
            </w:r>
          </w:p>
          <w:p w14:paraId="02A00470" w14:textId="484390C4" w:rsidR="007774F9" w:rsidRDefault="007774F9" w:rsidP="00145479">
            <w:pPr>
              <w:pStyle w:val="Caption"/>
              <w:spacing w:after="160"/>
              <w:ind w:left="22" w:right="71"/>
              <w:jc w:val="left"/>
              <w:rPr>
                <w:rFonts w:cstheme="minorBidi"/>
                <w:lang w:val="en-AU" w:eastAsia="zh-TW"/>
              </w:rPr>
            </w:pPr>
            <w:bookmarkStart w:id="18" w:name="_Toc533411214"/>
            <w:r>
              <w:t xml:space="preserve">Table </w:t>
            </w:r>
            <w:r w:rsidR="00973951">
              <w:rPr>
                <w:noProof/>
              </w:rPr>
              <w:fldChar w:fldCharType="begin"/>
            </w:r>
            <w:r w:rsidR="00973951">
              <w:rPr>
                <w:rFonts w:eastAsia="MS Mincho" w:cstheme="minorBidi"/>
                <w:noProof/>
                <w:lang w:eastAsia="en-US"/>
              </w:rPr>
              <w:instrText xml:space="preserve"> SEQ Table \* ARABIC </w:instrText>
            </w:r>
            <w:r w:rsidR="00973951">
              <w:rPr>
                <w:noProof/>
              </w:rPr>
              <w:fldChar w:fldCharType="separate"/>
            </w:r>
            <w:r w:rsidR="0034416C">
              <w:rPr>
                <w:rFonts w:eastAsia="MS Mincho" w:cstheme="minorBidi"/>
                <w:noProof/>
                <w:lang w:eastAsia="en-US"/>
              </w:rPr>
              <w:t>4</w:t>
            </w:r>
            <w:r w:rsidR="00973951">
              <w:rPr>
                <w:noProof/>
              </w:rPr>
              <w:fldChar w:fldCharType="end"/>
            </w:r>
            <w:r>
              <w:t xml:space="preserve">: </w:t>
            </w:r>
            <w:r w:rsidRPr="00B710F6">
              <w:t xml:space="preserve">DC Assessment for Frankton </w:t>
            </w:r>
            <w:proofErr w:type="spellStart"/>
            <w:r w:rsidRPr="00B710F6">
              <w:t>PAK’nSAVE</w:t>
            </w:r>
            <w:proofErr w:type="spellEnd"/>
            <w:r w:rsidRPr="00B710F6">
              <w:t>, 2016</w:t>
            </w:r>
            <w:bookmarkEnd w:id="18"/>
          </w:p>
          <w:p w14:paraId="3113C83B" w14:textId="53E0ABD5" w:rsidR="007774F9" w:rsidRDefault="006E2A59" w:rsidP="00145479">
            <w:pPr>
              <w:pStyle w:val="Caption"/>
              <w:ind w:left="22" w:right="71"/>
            </w:pPr>
            <w:r>
              <w:rPr>
                <w:noProof/>
              </w:rPr>
              <w:drawing>
                <wp:inline distT="0" distB="0" distL="0" distR="0" wp14:anchorId="6D2CF3E0" wp14:editId="7133FD16">
                  <wp:extent cx="5308169" cy="1579042"/>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10-19 at 1.09.19 PM.jpeg"/>
                          <pic:cNvPicPr/>
                        </pic:nvPicPr>
                        <pic:blipFill>
                          <a:blip r:embed="rId28"/>
                          <a:stretch>
                            <a:fillRect/>
                          </a:stretch>
                        </pic:blipFill>
                        <pic:spPr>
                          <a:xfrm>
                            <a:off x="0" y="0"/>
                            <a:ext cx="5321417" cy="1582983"/>
                          </a:xfrm>
                          <a:prstGeom prst="rect">
                            <a:avLst/>
                          </a:prstGeom>
                        </pic:spPr>
                      </pic:pic>
                    </a:graphicData>
                  </a:graphic>
                </wp:inline>
              </w:drawing>
            </w:r>
          </w:p>
          <w:p w14:paraId="0E3532DF" w14:textId="3347784F" w:rsidR="007774F9" w:rsidRPr="007774F9" w:rsidRDefault="007774F9" w:rsidP="00145479">
            <w:pPr>
              <w:spacing w:before="160"/>
              <w:ind w:left="22" w:right="71"/>
              <w:rPr>
                <w:i/>
                <w:sz w:val="16"/>
                <w:szCs w:val="16"/>
              </w:rPr>
            </w:pPr>
            <w:r w:rsidRPr="007774F9">
              <w:rPr>
                <w:i/>
                <w:sz w:val="16"/>
                <w:szCs w:val="16"/>
              </w:rPr>
              <w:t xml:space="preserve">Source: DC Notice from QLDC on Frankton </w:t>
            </w:r>
            <w:proofErr w:type="spellStart"/>
            <w:r w:rsidRPr="007774F9">
              <w:rPr>
                <w:i/>
                <w:sz w:val="16"/>
                <w:szCs w:val="16"/>
              </w:rPr>
              <w:t>PAK’nSAVE</w:t>
            </w:r>
            <w:proofErr w:type="spellEnd"/>
            <w:r w:rsidR="00ED3ABB">
              <w:rPr>
                <w:rStyle w:val="FootnoteReference"/>
                <w:i/>
                <w:szCs w:val="16"/>
              </w:rPr>
              <w:footnoteReference w:id="14"/>
            </w:r>
          </w:p>
          <w:p w14:paraId="7A7E7A9C" w14:textId="5722E993" w:rsidR="00281016" w:rsidRPr="00B710F6" w:rsidRDefault="00281016" w:rsidP="00145479">
            <w:pPr>
              <w:spacing w:before="200" w:after="200" w:line="276" w:lineRule="auto"/>
              <w:ind w:left="22" w:right="71"/>
              <w:rPr>
                <w:rFonts w:cstheme="minorBidi"/>
                <w:lang w:val="en-AU" w:eastAsia="zh-TW"/>
              </w:rPr>
            </w:pPr>
            <w:r w:rsidRPr="00B710F6">
              <w:rPr>
                <w:rFonts w:cstheme="minorBidi"/>
                <w:lang w:val="en-AU" w:eastAsia="zh-TW"/>
              </w:rPr>
              <w:t xml:space="preserve">Upon receiving the DC assessment for the Frankton </w:t>
            </w:r>
            <w:proofErr w:type="spellStart"/>
            <w:r w:rsidRPr="00B710F6">
              <w:rPr>
                <w:rFonts w:cstheme="minorBidi"/>
                <w:lang w:val="en-AU" w:eastAsia="zh-TW"/>
              </w:rPr>
              <w:t>PAK’nSAVE</w:t>
            </w:r>
            <w:proofErr w:type="spellEnd"/>
            <w:r w:rsidRPr="00B710F6">
              <w:rPr>
                <w:rFonts w:cstheme="minorBidi"/>
                <w:lang w:val="en-AU" w:eastAsia="zh-TW"/>
              </w:rPr>
              <w:t xml:space="preserve">, Foodstuffs noted that not only were there significant DC charges, but QLDC did not assess any </w:t>
            </w:r>
            <w:r w:rsidR="00F96F93">
              <w:rPr>
                <w:rFonts w:cstheme="minorBidi"/>
                <w:lang w:val="en-AU" w:eastAsia="zh-TW"/>
              </w:rPr>
              <w:t>H</w:t>
            </w:r>
            <w:r w:rsidRPr="00B710F6">
              <w:rPr>
                <w:rFonts w:cstheme="minorBidi"/>
                <w:lang w:val="en-AU" w:eastAsia="zh-TW"/>
              </w:rPr>
              <w:t>UE credits for the development. This was despite the significant infrastructure that SPL installed during the development, a large amount of which was specifically required by QLDC as part of building consents for the development.</w:t>
            </w:r>
          </w:p>
          <w:p w14:paraId="61329FEA" w14:textId="77777777" w:rsidR="00281016" w:rsidRPr="00B710F6" w:rsidRDefault="00281016" w:rsidP="00145479">
            <w:pPr>
              <w:spacing w:after="200" w:line="276" w:lineRule="auto"/>
              <w:ind w:left="22" w:right="71"/>
              <w:rPr>
                <w:rFonts w:cstheme="minorBidi"/>
                <w:lang w:val="en-AU" w:eastAsia="zh-TW"/>
              </w:rPr>
            </w:pPr>
            <w:r w:rsidRPr="00B710F6">
              <w:rPr>
                <w:rFonts w:cstheme="minorBidi"/>
                <w:lang w:val="en-AU" w:eastAsia="zh-TW"/>
              </w:rPr>
              <w:t xml:space="preserve">The pre-existing infrastructure that Foodstuffs expected to be </w:t>
            </w:r>
            <w:proofErr w:type="gramStart"/>
            <w:r w:rsidRPr="00B710F6">
              <w:rPr>
                <w:rFonts w:cstheme="minorBidi"/>
                <w:lang w:val="en-AU" w:eastAsia="zh-TW"/>
              </w:rPr>
              <w:t>taken into account</w:t>
            </w:r>
            <w:proofErr w:type="gramEnd"/>
            <w:r w:rsidRPr="00B710F6">
              <w:rPr>
                <w:rFonts w:cstheme="minorBidi"/>
                <w:lang w:val="en-AU" w:eastAsia="zh-TW"/>
              </w:rPr>
              <w:t xml:space="preserve"> in the DC assessment included:</w:t>
            </w:r>
          </w:p>
          <w:p w14:paraId="6E2DCDEA" w14:textId="77777777" w:rsidR="00281016" w:rsidRPr="00281016" w:rsidRDefault="00281016" w:rsidP="00145479">
            <w:pPr>
              <w:pStyle w:val="ListParagraph"/>
              <w:numPr>
                <w:ilvl w:val="0"/>
                <w:numId w:val="23"/>
              </w:numPr>
              <w:spacing w:after="160" w:line="276" w:lineRule="auto"/>
              <w:ind w:left="591" w:right="71" w:hanging="357"/>
              <w:contextualSpacing w:val="0"/>
              <w:rPr>
                <w:rFonts w:ascii="Open Sans Semibold" w:hAnsi="Open Sans Semibold" w:cs="Open Sans Semibold"/>
                <w:b/>
                <w:lang w:val="en-AU" w:eastAsia="ja-JP"/>
              </w:rPr>
            </w:pPr>
            <w:r w:rsidRPr="00281016">
              <w:rPr>
                <w:rFonts w:ascii="Open Sans Semibold" w:hAnsi="Open Sans Semibold" w:cs="Open Sans Semibold"/>
                <w:b/>
                <w:lang w:val="en-AU" w:eastAsia="ja-JP"/>
              </w:rPr>
              <w:t xml:space="preserve">Water supply – </w:t>
            </w:r>
            <w:r w:rsidRPr="00281016">
              <w:rPr>
                <w:rFonts w:cs="Open Sans"/>
                <w:lang w:val="en-AU" w:eastAsia="ja-JP"/>
              </w:rPr>
              <w:t>SPL installed two 10,000 litre rainwater tanks on the property, which significantly reduce the requirement for a separate water supply;</w:t>
            </w:r>
          </w:p>
          <w:p w14:paraId="6E417826" w14:textId="77777777" w:rsidR="00281016" w:rsidRPr="00281016" w:rsidRDefault="00281016" w:rsidP="00145479">
            <w:pPr>
              <w:pStyle w:val="ListParagraph"/>
              <w:numPr>
                <w:ilvl w:val="0"/>
                <w:numId w:val="23"/>
              </w:numPr>
              <w:spacing w:after="160" w:line="276" w:lineRule="auto"/>
              <w:ind w:left="591" w:right="71" w:hanging="357"/>
              <w:contextualSpacing w:val="0"/>
              <w:rPr>
                <w:rFonts w:ascii="Open Sans Semibold" w:hAnsi="Open Sans Semibold" w:cs="Open Sans Semibold"/>
                <w:b/>
                <w:lang w:val="en-AU" w:eastAsia="ja-JP"/>
              </w:rPr>
            </w:pPr>
            <w:r w:rsidRPr="00281016">
              <w:rPr>
                <w:rFonts w:ascii="Open Sans Semibold" w:hAnsi="Open Sans Semibold" w:cs="Open Sans Semibold"/>
                <w:b/>
                <w:lang w:val="en-AU" w:eastAsia="ja-JP"/>
              </w:rPr>
              <w:t xml:space="preserve">Stormwater – </w:t>
            </w:r>
            <w:r w:rsidRPr="00281016">
              <w:rPr>
                <w:rFonts w:cs="Open Sans"/>
                <w:lang w:val="en-AU" w:eastAsia="ja-JP"/>
              </w:rPr>
              <w:t xml:space="preserve">As discussed above, as part of building consent BC150563, SPL installed an onsite stormwater system which disposes of stormwater in all but extreme weather cases. The onsite stormwater system means that the Frankton </w:t>
            </w:r>
            <w:proofErr w:type="spellStart"/>
            <w:r w:rsidRPr="00281016">
              <w:rPr>
                <w:rFonts w:cs="Open Sans"/>
                <w:lang w:val="en-AU" w:eastAsia="ja-JP"/>
              </w:rPr>
              <w:t>PAK’nSAVE</w:t>
            </w:r>
            <w:proofErr w:type="spellEnd"/>
            <w:r w:rsidRPr="00281016">
              <w:rPr>
                <w:rFonts w:cs="Open Sans"/>
                <w:lang w:val="en-AU" w:eastAsia="ja-JP"/>
              </w:rPr>
              <w:t xml:space="preserve"> imposes very little demand on council stormwater infrastructure; and</w:t>
            </w:r>
          </w:p>
          <w:p w14:paraId="60AB4A9B" w14:textId="1145DFEC" w:rsidR="00281016" w:rsidRPr="00281016" w:rsidRDefault="00281016" w:rsidP="00145479">
            <w:pPr>
              <w:pStyle w:val="ListParagraph"/>
              <w:numPr>
                <w:ilvl w:val="0"/>
                <w:numId w:val="23"/>
              </w:numPr>
              <w:spacing w:after="160" w:line="276" w:lineRule="auto"/>
              <w:ind w:left="591" w:right="209" w:hanging="357"/>
              <w:contextualSpacing w:val="0"/>
              <w:rPr>
                <w:rFonts w:ascii="Open Sans Semibold" w:hAnsi="Open Sans Semibold" w:cs="Open Sans Semibold"/>
                <w:b/>
                <w:lang w:val="en-AU" w:eastAsia="ja-JP"/>
              </w:rPr>
            </w:pPr>
            <w:r w:rsidRPr="00281016">
              <w:rPr>
                <w:rFonts w:ascii="Open Sans Semibold" w:hAnsi="Open Sans Semibold" w:cs="Open Sans Semibold"/>
                <w:b/>
                <w:lang w:val="en-AU" w:eastAsia="ja-JP"/>
              </w:rPr>
              <w:t xml:space="preserve">Transportation – </w:t>
            </w:r>
            <w:r w:rsidRPr="00145479">
              <w:rPr>
                <w:rFonts w:cs="Open Sans"/>
                <w:lang w:val="en-AU" w:eastAsia="ja-JP"/>
              </w:rPr>
              <w:t>As part of</w:t>
            </w:r>
            <w:r w:rsidR="00DF6E2F" w:rsidRPr="00145479">
              <w:rPr>
                <w:rFonts w:cs="Open Sans"/>
                <w:lang w:val="en-AU" w:eastAsia="ja-JP"/>
              </w:rPr>
              <w:t xml:space="preserve"> the</w:t>
            </w:r>
            <w:r w:rsidRPr="00145479">
              <w:rPr>
                <w:rFonts w:cs="Open Sans"/>
                <w:lang w:val="en-AU" w:eastAsia="ja-JP"/>
              </w:rPr>
              <w:t xml:space="preserve"> land settlement deed, SPL was required by QLDC to enter into an agreement with Queenstown Central Limited and NZTA to fund the Eastern Access road intersection and related roading. This roading cost of $451,000 was paid by Foodstuffs in its sale contract with SPL.</w:t>
            </w:r>
          </w:p>
          <w:p w14:paraId="2659FF71" w14:textId="0A99CB32" w:rsidR="00281016" w:rsidRPr="00281016" w:rsidRDefault="00281016" w:rsidP="00145479">
            <w:pPr>
              <w:spacing w:after="200" w:line="276" w:lineRule="auto"/>
              <w:ind w:left="22" w:right="69" w:hanging="6"/>
              <w:rPr>
                <w:rFonts w:cstheme="minorBidi"/>
                <w:lang w:val="en-AU" w:eastAsia="zh-TW"/>
              </w:rPr>
            </w:pPr>
            <w:r>
              <w:rPr>
                <w:rFonts w:cstheme="minorBidi"/>
                <w:lang w:val="en-AU" w:eastAsia="zh-TW"/>
              </w:rPr>
              <w:lastRenderedPageBreak/>
              <w:t>Foodstuffs made a request</w:t>
            </w:r>
            <w:r w:rsidRPr="00281016">
              <w:rPr>
                <w:rFonts w:cstheme="minorBidi"/>
                <w:lang w:val="en-AU" w:eastAsia="zh-TW"/>
              </w:rPr>
              <w:t xml:space="preserve"> to QLDC for reassessment</w:t>
            </w:r>
            <w:r w:rsidR="00096484">
              <w:rPr>
                <w:rFonts w:cstheme="minorBidi"/>
                <w:lang w:val="en-AU" w:eastAsia="zh-TW"/>
              </w:rPr>
              <w:t xml:space="preserve"> on 28 June 2016</w:t>
            </w:r>
            <w:r w:rsidRPr="00281016">
              <w:rPr>
                <w:rFonts w:cstheme="minorBidi"/>
                <w:lang w:val="en-AU" w:eastAsia="zh-TW"/>
              </w:rPr>
              <w:t>, highlighting the lack of acknowledgement of the significant infrastructure provided by the developer. QLDC responded</w:t>
            </w:r>
            <w:r w:rsidR="00C669A8">
              <w:rPr>
                <w:rFonts w:cstheme="minorBidi"/>
                <w:lang w:val="en-AU" w:eastAsia="zh-TW"/>
              </w:rPr>
              <w:t xml:space="preserve"> on</w:t>
            </w:r>
            <w:r w:rsidRPr="00281016">
              <w:rPr>
                <w:rFonts w:cstheme="minorBidi"/>
                <w:lang w:val="en-AU" w:eastAsia="zh-TW"/>
              </w:rPr>
              <w:t xml:space="preserve"> </w:t>
            </w:r>
            <w:r>
              <w:rPr>
                <w:rFonts w:cstheme="minorBidi"/>
                <w:lang w:val="en-AU" w:eastAsia="zh-TW"/>
              </w:rPr>
              <w:t xml:space="preserve">December </w:t>
            </w:r>
            <w:proofErr w:type="gramStart"/>
            <w:r>
              <w:rPr>
                <w:rFonts w:cstheme="minorBidi"/>
                <w:lang w:val="en-AU" w:eastAsia="zh-TW"/>
              </w:rPr>
              <w:t>8</w:t>
            </w:r>
            <w:proofErr w:type="gramEnd"/>
            <w:r>
              <w:rPr>
                <w:rFonts w:cstheme="minorBidi"/>
                <w:lang w:val="en-AU" w:eastAsia="zh-TW"/>
              </w:rPr>
              <w:t xml:space="preserve"> 2016</w:t>
            </w:r>
            <w:r w:rsidRPr="00281016">
              <w:rPr>
                <w:rFonts w:cstheme="minorBidi"/>
                <w:lang w:val="en-AU" w:eastAsia="zh-TW"/>
              </w:rPr>
              <w:t xml:space="preserve"> to the request for reconsideration confirming the DCs in the original notice. </w:t>
            </w:r>
          </w:p>
          <w:p w14:paraId="65A95170" w14:textId="79F0DADA" w:rsidR="00281016" w:rsidRPr="00281016" w:rsidRDefault="00281016" w:rsidP="00145479">
            <w:pPr>
              <w:spacing w:after="200" w:line="276" w:lineRule="auto"/>
              <w:ind w:left="22" w:right="69" w:hanging="6"/>
              <w:rPr>
                <w:rFonts w:cstheme="minorBidi"/>
                <w:lang w:val="en-AU" w:eastAsia="zh-TW"/>
              </w:rPr>
            </w:pPr>
            <w:r w:rsidRPr="00281016">
              <w:rPr>
                <w:rFonts w:cstheme="minorBidi"/>
                <w:lang w:val="en-AU" w:eastAsia="zh-TW"/>
              </w:rPr>
              <w:t xml:space="preserve">Foodstuffs made the decision to lodge a notice of objection pursuant of Section 199C of the LGA </w:t>
            </w:r>
            <w:r w:rsidR="00096484">
              <w:rPr>
                <w:rFonts w:cstheme="minorBidi"/>
                <w:lang w:val="en-AU" w:eastAsia="zh-TW"/>
              </w:rPr>
              <w:t>on 23 December 2016</w:t>
            </w:r>
            <w:r w:rsidRPr="00281016">
              <w:rPr>
                <w:rFonts w:cstheme="minorBidi"/>
                <w:lang w:val="en-AU" w:eastAsia="zh-TW"/>
              </w:rPr>
              <w:t xml:space="preserve">. In the subsequent objection hearing before DC Commissioners, Foodstuffs focused on the issue of the onsite stormwater system, alongside a separate issue surrounding at which stage of development DCs should be charged. QLDC noted that the stormwater charge was towards the area wide public stormwater system. The construction of this system was confirmed in the 2015-2025 </w:t>
            </w:r>
            <w:proofErr w:type="gramStart"/>
            <w:r w:rsidRPr="00281016">
              <w:rPr>
                <w:rFonts w:cstheme="minorBidi"/>
                <w:lang w:val="en-AU" w:eastAsia="zh-TW"/>
              </w:rPr>
              <w:t>10 year</w:t>
            </w:r>
            <w:proofErr w:type="gramEnd"/>
            <w:r w:rsidRPr="00281016">
              <w:rPr>
                <w:rFonts w:cstheme="minorBidi"/>
                <w:lang w:val="en-AU" w:eastAsia="zh-TW"/>
              </w:rPr>
              <w:t xml:space="preserve"> plan. The public system was designed to cater for flows from a 1 in </w:t>
            </w:r>
            <w:proofErr w:type="gramStart"/>
            <w:r w:rsidRPr="00281016">
              <w:rPr>
                <w:rFonts w:cstheme="minorBidi"/>
                <w:lang w:val="en-AU" w:eastAsia="zh-TW"/>
              </w:rPr>
              <w:t>100 year</w:t>
            </w:r>
            <w:proofErr w:type="gramEnd"/>
            <w:r w:rsidRPr="00281016">
              <w:rPr>
                <w:rFonts w:cstheme="minorBidi"/>
                <w:lang w:val="en-AU" w:eastAsia="zh-TW"/>
              </w:rPr>
              <w:t xml:space="preserve"> storm event, as well as provide protection for each property from the risk of surface water flows from other properties. Construction of the public system was budgeted at $8.6 billion, spread over 2016 and 2017. Upon completion, all developments within the Frankton area including the new </w:t>
            </w:r>
            <w:proofErr w:type="spellStart"/>
            <w:r w:rsidRPr="00281016">
              <w:rPr>
                <w:rFonts w:cstheme="minorBidi"/>
                <w:lang w:val="en-AU" w:eastAsia="zh-TW"/>
              </w:rPr>
              <w:t>PAK’nSAVE</w:t>
            </w:r>
            <w:proofErr w:type="spellEnd"/>
            <w:r w:rsidRPr="00281016">
              <w:rPr>
                <w:rFonts w:cstheme="minorBidi"/>
                <w:lang w:val="en-AU" w:eastAsia="zh-TW"/>
              </w:rPr>
              <w:t xml:space="preserve"> were to be connected to the public system. </w:t>
            </w:r>
          </w:p>
          <w:p w14:paraId="7656D01D" w14:textId="77777777" w:rsidR="004436F7" w:rsidRPr="004F0A63" w:rsidRDefault="004436F7" w:rsidP="00145479">
            <w:pPr>
              <w:spacing w:after="200" w:line="276" w:lineRule="auto"/>
              <w:ind w:left="22" w:right="69" w:hanging="6"/>
              <w:rPr>
                <w:rFonts w:cstheme="minorBidi"/>
                <w:lang w:val="en-AU" w:eastAsia="zh-TW"/>
              </w:rPr>
            </w:pPr>
            <w:r w:rsidRPr="004F0A63">
              <w:rPr>
                <w:rFonts w:cstheme="minorBidi"/>
                <w:lang w:val="en-AU" w:eastAsia="zh-TW"/>
              </w:rPr>
              <w:t xml:space="preserve">As it pertained to Foodstuff’s </w:t>
            </w:r>
            <w:proofErr w:type="spellStart"/>
            <w:r w:rsidRPr="004F0A63">
              <w:rPr>
                <w:rFonts w:cstheme="minorBidi"/>
                <w:lang w:val="en-AU" w:eastAsia="zh-TW"/>
              </w:rPr>
              <w:t>PAK’n’SAVE</w:t>
            </w:r>
            <w:proofErr w:type="spellEnd"/>
            <w:r w:rsidRPr="004F0A63">
              <w:rPr>
                <w:rFonts w:cstheme="minorBidi"/>
                <w:lang w:val="en-AU" w:eastAsia="zh-TW"/>
              </w:rPr>
              <w:t xml:space="preserve"> development, QLDC asserted that although the onsite stormwater system may cater for stormwater from the site most of the time, the case of a “critical” 1 in 100 storm </w:t>
            </w:r>
            <w:proofErr w:type="gramStart"/>
            <w:r w:rsidRPr="004F0A63">
              <w:rPr>
                <w:rFonts w:cstheme="minorBidi"/>
                <w:lang w:val="en-AU" w:eastAsia="zh-TW"/>
              </w:rPr>
              <w:t>event</w:t>
            </w:r>
            <w:proofErr w:type="gramEnd"/>
            <w:r w:rsidRPr="004F0A63">
              <w:rPr>
                <w:rFonts w:cstheme="minorBidi"/>
                <w:lang w:val="en-AU" w:eastAsia="zh-TW"/>
              </w:rPr>
              <w:t>, any reduction in volume or flow rate caused by the on-site system would be insignificant.</w:t>
            </w:r>
          </w:p>
          <w:p w14:paraId="1C3B346F" w14:textId="2295EFB5" w:rsidR="00281016" w:rsidRPr="00145479" w:rsidRDefault="004436F7" w:rsidP="00145479">
            <w:pPr>
              <w:spacing w:line="276" w:lineRule="auto"/>
              <w:ind w:left="22" w:right="69" w:hanging="6"/>
              <w:rPr>
                <w:rFonts w:cstheme="minorBidi"/>
                <w:lang w:val="en-AU" w:eastAsia="zh-TW"/>
              </w:rPr>
            </w:pPr>
            <w:r w:rsidRPr="004F0A63">
              <w:rPr>
                <w:rFonts w:cstheme="minorBidi"/>
                <w:lang w:val="en-AU" w:eastAsia="zh-TW"/>
              </w:rPr>
              <w:t xml:space="preserve">The DC Commissioners noted in </w:t>
            </w:r>
            <w:r w:rsidR="00B710F6">
              <w:rPr>
                <w:rFonts w:cstheme="minorBidi"/>
                <w:lang w:val="en-AU" w:eastAsia="zh-TW"/>
              </w:rPr>
              <w:t xml:space="preserve">the hearing </w:t>
            </w:r>
            <w:r w:rsidRPr="004F0A63">
              <w:rPr>
                <w:rFonts w:cstheme="minorBidi"/>
                <w:lang w:val="en-AU" w:eastAsia="zh-TW"/>
              </w:rPr>
              <w:t xml:space="preserve">that </w:t>
            </w:r>
            <w:proofErr w:type="gramStart"/>
            <w:r w:rsidRPr="004F0A63">
              <w:rPr>
                <w:rFonts w:cstheme="minorBidi"/>
                <w:lang w:val="en-AU" w:eastAsia="zh-TW"/>
              </w:rPr>
              <w:t>in order for</w:t>
            </w:r>
            <w:proofErr w:type="gramEnd"/>
            <w:r w:rsidRPr="004F0A63">
              <w:rPr>
                <w:rFonts w:cstheme="minorBidi"/>
                <w:lang w:val="en-AU" w:eastAsia="zh-TW"/>
              </w:rPr>
              <w:t xml:space="preserve"> Foodstuffs’ objection to succeed, they had to be satisfied that the on-site system substantially reduced the impact on the public system. The Commissioners eventually ruled in favour of QLDC, noting that the on-site system did not remove the need for the development to be connected to the public system, as it could not provide protection in the event of a 1:100 storm.</w:t>
            </w:r>
          </w:p>
        </w:tc>
      </w:tr>
    </w:tbl>
    <w:p w14:paraId="07A03CC8" w14:textId="71C263DE" w:rsidR="007D6BFB" w:rsidRDefault="00E56574" w:rsidP="00B22236">
      <w:pPr>
        <w:spacing w:before="200"/>
      </w:pPr>
      <w:r>
        <w:lastRenderedPageBreak/>
        <w:t xml:space="preserve">Case study 1 </w:t>
      </w:r>
      <w:r w:rsidR="00F64F59">
        <w:t>involves</w:t>
      </w:r>
      <w:r w:rsidR="00C319B8">
        <w:t xml:space="preserve"> a situation in which the developer has </w:t>
      </w:r>
      <w:r w:rsidR="007E690E">
        <w:t xml:space="preserve">funded infrastructure to service </w:t>
      </w:r>
      <w:r w:rsidR="001A65CC">
        <w:t xml:space="preserve">its </w:t>
      </w:r>
      <w:r w:rsidR="00156050">
        <w:t>site</w:t>
      </w:r>
      <w:r w:rsidR="001A65CC">
        <w:t xml:space="preserve">, </w:t>
      </w:r>
      <w:r w:rsidR="007D6BFB">
        <w:t>including water supply, stormwater</w:t>
      </w:r>
      <w:r w:rsidR="00930B4E">
        <w:t xml:space="preserve"> and roading infrastructure (whereby the stormwater and roading infrastructure was </w:t>
      </w:r>
      <w:r w:rsidR="00156050">
        <w:t xml:space="preserve">part of the building consent requirements set by the local council). At the time of the DC assessment, the local council does not appear to have </w:t>
      </w:r>
      <w:proofErr w:type="gramStart"/>
      <w:r w:rsidR="00156050">
        <w:t>taken into account</w:t>
      </w:r>
      <w:proofErr w:type="gramEnd"/>
      <w:r w:rsidR="00156050">
        <w:t xml:space="preserve"> the reduced demand on council inf</w:t>
      </w:r>
      <w:r w:rsidR="009B0291">
        <w:t xml:space="preserve">rastructure of the development, applying no HUE discounts </w:t>
      </w:r>
      <w:r w:rsidR="00E46724">
        <w:t>relating to the provided</w:t>
      </w:r>
      <w:r w:rsidR="009B0291">
        <w:t xml:space="preserve"> infrastructure.</w:t>
      </w:r>
    </w:p>
    <w:p w14:paraId="12EBAABC" w14:textId="7AE05715" w:rsidR="00F85314" w:rsidRDefault="009E6751" w:rsidP="00376E12">
      <w:r>
        <w:rPr>
          <w:lang w:val="en-AU" w:eastAsia="zh-TW"/>
        </w:rPr>
        <w:t>I</w:t>
      </w:r>
      <w:r w:rsidR="00061148">
        <w:rPr>
          <w:lang w:val="en-AU" w:eastAsia="zh-TW"/>
        </w:rPr>
        <w:t xml:space="preserve">n our view the Council’s practice in this </w:t>
      </w:r>
      <w:r w:rsidR="00955E27">
        <w:t xml:space="preserve">case does not align with </w:t>
      </w:r>
      <w:r w:rsidR="00955E27">
        <w:rPr>
          <w:b/>
          <w:color w:val="183F7C"/>
          <w:lang w:val="en-GB" w:eastAsia="ja-JP"/>
        </w:rPr>
        <w:t>Principle a</w:t>
      </w:r>
      <w:r w:rsidR="00061148">
        <w:t>.</w:t>
      </w:r>
      <w:r w:rsidR="004E3EE6">
        <w:t xml:space="preserve"> T</w:t>
      </w:r>
      <w:r w:rsidR="00955E27">
        <w:t xml:space="preserve">he </w:t>
      </w:r>
      <w:r w:rsidR="00717002">
        <w:t xml:space="preserve">charges </w:t>
      </w:r>
      <w:r w:rsidR="00F85314">
        <w:t xml:space="preserve">were </w:t>
      </w:r>
      <w:r w:rsidR="00717002">
        <w:t xml:space="preserve">not </w:t>
      </w:r>
      <w:r w:rsidR="00F85314">
        <w:t>set in a way that was</w:t>
      </w:r>
      <w:r w:rsidR="00717002">
        <w:t xml:space="preserve"> based on </w:t>
      </w:r>
      <w:r w:rsidR="00514711">
        <w:t xml:space="preserve">the requirements for additional or increased capacity council assets created by the developer. Rather than substantially increasing the need for additional assets or assets of increased capacity, the developer </w:t>
      </w:r>
      <w:r w:rsidR="00F85314">
        <w:t>took</w:t>
      </w:r>
      <w:r w:rsidR="00514711">
        <w:t xml:space="preserve"> measures to reduce</w:t>
      </w:r>
      <w:r w:rsidR="00351347">
        <w:t xml:space="preserve"> its impacts on council assets. As a result, it would follow </w:t>
      </w:r>
      <w:r w:rsidR="00F85314">
        <w:t>the site receive HUE credits in accordance with its actual, reduced impact.</w:t>
      </w:r>
    </w:p>
    <w:p w14:paraId="73F638B4" w14:textId="07F95C19" w:rsidR="00283B45" w:rsidRDefault="007D77AE" w:rsidP="00376E12">
      <w:r>
        <w:rPr>
          <w:b/>
          <w:color w:val="183F7C"/>
          <w:lang w:val="en-GB" w:eastAsia="ja-JP"/>
        </w:rPr>
        <w:t>Principle b</w:t>
      </w:r>
      <w:r>
        <w:t xml:space="preserve"> states that DCs should be determined in a manner that avoids over-recovery of costs</w:t>
      </w:r>
      <w:r w:rsidR="00D132F7">
        <w:t>. In this example, we see evidence of over-recove</w:t>
      </w:r>
      <w:r w:rsidR="00667A21">
        <w:t>ry of costs associated with the</w:t>
      </w:r>
      <w:r w:rsidR="001608CF">
        <w:t xml:space="preserve"> stormwater system installed by the council. </w:t>
      </w:r>
      <w:r w:rsidR="00667A21">
        <w:t>While the developers had installed an on-site stormwater system that significantly reduced the supermarket</w:t>
      </w:r>
      <w:r w:rsidR="00F85314">
        <w:t>’</w:t>
      </w:r>
      <w:r w:rsidR="00667A21">
        <w:t xml:space="preserve">s requirement for/demand on this infrastructure, </w:t>
      </w:r>
      <w:r w:rsidR="00F85314">
        <w:t xml:space="preserve">the local council charged a </w:t>
      </w:r>
      <w:r w:rsidR="004D7BD2">
        <w:t xml:space="preserve">DC of </w:t>
      </w:r>
      <w:r w:rsidR="00F85314">
        <w:t>$5,178 per HUE, totalling</w:t>
      </w:r>
      <w:r w:rsidR="004D7BD2">
        <w:t xml:space="preserve"> $388,972, with no discount. </w:t>
      </w:r>
      <w:r w:rsidR="001B4340">
        <w:t xml:space="preserve">While we understand the requirement for the local council to </w:t>
      </w:r>
      <w:r w:rsidR="001B4340">
        <w:lastRenderedPageBreak/>
        <w:t xml:space="preserve">generate funding for the public system </w:t>
      </w:r>
      <w:r w:rsidR="00283B45">
        <w:t xml:space="preserve">(totalling $8.6 billion), this </w:t>
      </w:r>
      <w:r w:rsidR="00EC738E">
        <w:t xml:space="preserve">appears to be an example of over-recovery. </w:t>
      </w:r>
    </w:p>
    <w:p w14:paraId="40E583EB" w14:textId="044EED2C" w:rsidR="00E513DC" w:rsidRDefault="00452632" w:rsidP="00351347">
      <w:r>
        <w:rPr>
          <w:b/>
          <w:color w:val="183F7C"/>
          <w:lang w:val="en-GB" w:eastAsia="ja-JP"/>
        </w:rPr>
        <w:t xml:space="preserve">Principle c </w:t>
      </w:r>
      <w:r>
        <w:t>further captures ideas of DC charges being proportionate to those</w:t>
      </w:r>
      <w:r w:rsidR="007F38CE">
        <w:t xml:space="preserve"> who benefit from an asset and those who create the need for it. </w:t>
      </w:r>
      <w:r w:rsidR="00702B5E">
        <w:t>As stated, we do not consider the DCs assessed</w:t>
      </w:r>
      <w:r w:rsidR="00F85314">
        <w:t xml:space="preserve"> in this case</w:t>
      </w:r>
      <w:r w:rsidR="00702B5E">
        <w:t xml:space="preserve"> to illustrate proportionality. </w:t>
      </w:r>
      <w:r w:rsidR="00E513DC">
        <w:t xml:space="preserve">In the case of the transport DC, during the </w:t>
      </w:r>
      <w:r w:rsidR="00EC738E">
        <w:t>building consent stage</w:t>
      </w:r>
      <w:r w:rsidR="00E513DC">
        <w:t xml:space="preserve"> the developer </w:t>
      </w:r>
      <w:r w:rsidR="00C94272">
        <w:t xml:space="preserve">was required </w:t>
      </w:r>
      <w:r w:rsidR="00E513DC">
        <w:t>to fund $451,000 worth of roading. This was followed by a DC assessment that included a transpo</w:t>
      </w:r>
      <w:r w:rsidR="00F85314">
        <w:t>rt charge of $325,813, with no H</w:t>
      </w:r>
      <w:r w:rsidR="00E513DC">
        <w:t xml:space="preserve">UE credits. </w:t>
      </w:r>
      <w:r w:rsidR="00EC45E2">
        <w:t xml:space="preserve">This shows evidence of DC charges being used by a local council to ‘double dip’, </w:t>
      </w:r>
      <w:r w:rsidR="00F96056">
        <w:t>generating twice the revenue by</w:t>
      </w:r>
      <w:r w:rsidR="00EC45E2">
        <w:t xml:space="preserve"> </w:t>
      </w:r>
      <w:r w:rsidR="00F96056">
        <w:t xml:space="preserve">charging the developer twice for the same infrastructure. </w:t>
      </w:r>
      <w:r w:rsidR="00676F20">
        <w:t>Double dipping was an issue discussed in the past review of the DCs</w:t>
      </w:r>
      <w:r w:rsidR="00F85314">
        <w:t xml:space="preserve"> by the DIA</w:t>
      </w:r>
      <w:r w:rsidR="00676F20">
        <w:t xml:space="preserve">, and one which we see reason to believe is still a major concern. </w:t>
      </w:r>
    </w:p>
    <w:p w14:paraId="235F402D" w14:textId="40AA9232" w:rsidR="00081DC4" w:rsidRDefault="00081DC4" w:rsidP="00081DC4">
      <w:r w:rsidRPr="00C95CD0">
        <w:rPr>
          <w:b/>
          <w:noProof/>
          <w:lang w:val="en-AU"/>
        </w:rPr>
        <mc:AlternateContent>
          <mc:Choice Requires="wps">
            <w:drawing>
              <wp:anchor distT="0" distB="0" distL="114300" distR="114300" simplePos="0" relativeHeight="251784192" behindDoc="0" locked="0" layoutInCell="1" allowOverlap="1" wp14:anchorId="7F006DFF" wp14:editId="48AFFD51">
                <wp:simplePos x="0" y="0"/>
                <wp:positionH relativeFrom="column">
                  <wp:posOffset>12065</wp:posOffset>
                </wp:positionH>
                <wp:positionV relativeFrom="paragraph">
                  <wp:posOffset>782955</wp:posOffset>
                </wp:positionV>
                <wp:extent cx="5784215" cy="4474210"/>
                <wp:effectExtent l="12700" t="12700" r="6985" b="8890"/>
                <wp:wrapSquare wrapText="bothSides"/>
                <wp:docPr id="34" name="Text Box 34"/>
                <wp:cNvGraphicFramePr/>
                <a:graphic xmlns:a="http://schemas.openxmlformats.org/drawingml/2006/main">
                  <a:graphicData uri="http://schemas.microsoft.com/office/word/2010/wordprocessingShape">
                    <wps:wsp>
                      <wps:cNvSpPr txBox="1"/>
                      <wps:spPr>
                        <a:xfrm>
                          <a:off x="0" y="0"/>
                          <a:ext cx="5784215" cy="4474210"/>
                        </a:xfrm>
                        <a:prstGeom prst="rect">
                          <a:avLst/>
                        </a:prstGeom>
                        <a:solidFill>
                          <a:schemeClr val="bg1"/>
                        </a:solidFill>
                        <a:ln w="19050">
                          <a:solidFill>
                            <a:srgbClr val="85AEDC"/>
                          </a:solidFill>
                        </a:ln>
                      </wps:spPr>
                      <wps:txbx>
                        <w:txbxContent>
                          <w:p w14:paraId="4F5724CA" w14:textId="6FA25E7C" w:rsidR="005A4AFA" w:rsidRDefault="005A4AFA" w:rsidP="00145479">
                            <w:pPr>
                              <w:pStyle w:val="Caption"/>
                              <w:ind w:right="6"/>
                              <w:jc w:val="left"/>
                            </w:pPr>
                            <w:bookmarkStart w:id="19" w:name="_Toc533411224"/>
                            <w:bookmarkStart w:id="20" w:name="_Toc522547042"/>
                            <w:r>
                              <w:t xml:space="preserve">Case study </w:t>
                            </w:r>
                            <w:r>
                              <w:rPr>
                                <w:noProof/>
                              </w:rPr>
                              <w:fldChar w:fldCharType="begin"/>
                            </w:r>
                            <w:r>
                              <w:rPr>
                                <w:noProof/>
                              </w:rPr>
                              <w:instrText xml:space="preserve"> SEQ Case_study \* ARABIC </w:instrText>
                            </w:r>
                            <w:r>
                              <w:rPr>
                                <w:noProof/>
                              </w:rPr>
                              <w:fldChar w:fldCharType="separate"/>
                            </w:r>
                            <w:r w:rsidR="0034416C">
                              <w:rPr>
                                <w:noProof/>
                              </w:rPr>
                              <w:t>2</w:t>
                            </w:r>
                            <w:r>
                              <w:rPr>
                                <w:noProof/>
                              </w:rPr>
                              <w:fldChar w:fldCharType="end"/>
                            </w:r>
                            <w:r>
                              <w:t>: Examples from Christchurch</w:t>
                            </w:r>
                            <w:bookmarkEnd w:id="19"/>
                          </w:p>
                          <w:p w14:paraId="5D2B2732" w14:textId="2E8D2E89" w:rsidR="005A4AFA" w:rsidRPr="004F0A63" w:rsidRDefault="005A4AFA" w:rsidP="00145479">
                            <w:pPr>
                              <w:ind w:right="3"/>
                              <w:rPr>
                                <w:rFonts w:cs="Open Sans"/>
                                <w:b/>
                                <w:color w:val="0070C0"/>
                                <w:lang w:val="en-AU"/>
                              </w:rPr>
                            </w:pPr>
                            <w:r w:rsidRPr="004F0A63">
                              <w:rPr>
                                <w:rFonts w:cs="Open Sans"/>
                                <w:b/>
                                <w:color w:val="000000" w:themeColor="text1"/>
                                <w:lang w:val="en-AU"/>
                              </w:rPr>
                              <w:t xml:space="preserve">Hornby: </w:t>
                            </w:r>
                            <w:r w:rsidRPr="004F0A63">
                              <w:rPr>
                                <w:rFonts w:cs="Open Sans"/>
                                <w:lang w:val="en-GB" w:eastAsia="zh-TW"/>
                              </w:rPr>
                              <w:t xml:space="preserve">Foodstuffs recently developed a new South Island distribution centre in Hornby, Christchurch. When the DCs were initially calculated by Christchurch City Council (CCC), the charges were based on an increase in HUEs using the proportional increase of the proposed building extension. Foodstuffs believed that this method overstated the actual impacts of the development, requesting a special assessment. After obtaining actual water usage readings, it was determined that the actual number of HUEs was substantially lower than the Council’s average. The DC charges were subsequently reduced from $1,196,240 to $384,512. </w:t>
                            </w:r>
                          </w:p>
                          <w:p w14:paraId="5B8B882C" w14:textId="77777777" w:rsidR="005A4AFA" w:rsidRPr="004F0A63" w:rsidRDefault="005A4AFA" w:rsidP="00145479">
                            <w:pPr>
                              <w:ind w:right="3"/>
                              <w:rPr>
                                <w:lang w:val="en-GB" w:eastAsia="zh-TW"/>
                              </w:rPr>
                            </w:pPr>
                            <w:r w:rsidRPr="004F0A63">
                              <w:rPr>
                                <w:rFonts w:cs="Open Sans"/>
                                <w:lang w:val="en-GB" w:eastAsia="zh-TW"/>
                              </w:rPr>
                              <w:t>Foodstuffs also queried the Council on the DC charges applied to a particular part of the distribution centre that houses a pick module system. This is an automated process for storing and accessing goods. CCC initially applied DC charges to this part of the site, despite it being entirely automated, requiring no additional workers (and thus imposed no extra impact on council water care infrastructure. Upon making its case to CCC, Foodstuffs eventually negotiated for the $51,033 charge on this area to be removed.</w:t>
                            </w:r>
                            <w:r w:rsidRPr="004F0A63">
                              <w:rPr>
                                <w:lang w:val="en-GB" w:eastAsia="zh-TW"/>
                              </w:rPr>
                              <w:t xml:space="preserve"> </w:t>
                            </w:r>
                          </w:p>
                          <w:p w14:paraId="12F3E61D" w14:textId="3C4041B9" w:rsidR="005A4AFA" w:rsidRPr="004F0A63" w:rsidRDefault="005A4AFA" w:rsidP="00145479">
                            <w:pPr>
                              <w:ind w:right="3"/>
                              <w:rPr>
                                <w:rFonts w:cs="Open Sans"/>
                                <w:b/>
                                <w:color w:val="0070C0"/>
                                <w:lang w:val="en-AU"/>
                              </w:rPr>
                            </w:pPr>
                            <w:r w:rsidRPr="004F0A63">
                              <w:rPr>
                                <w:rFonts w:cs="Open Sans"/>
                                <w:b/>
                                <w:color w:val="000000" w:themeColor="text1"/>
                                <w:lang w:val="en-AU"/>
                              </w:rPr>
                              <w:t>Prestons</w:t>
                            </w:r>
                            <w:bookmarkEnd w:id="20"/>
                            <w:r w:rsidRPr="004F0A63">
                              <w:rPr>
                                <w:rFonts w:cs="Open Sans"/>
                                <w:b/>
                                <w:color w:val="000000" w:themeColor="text1"/>
                                <w:lang w:val="en-AU"/>
                              </w:rPr>
                              <w:t>:</w:t>
                            </w:r>
                            <w:r w:rsidRPr="004F0A63">
                              <w:rPr>
                                <w:rFonts w:cs="Open Sans"/>
                                <w:b/>
                                <w:color w:val="0070C0"/>
                                <w:lang w:val="en-AU"/>
                              </w:rPr>
                              <w:t xml:space="preserve"> </w:t>
                            </w:r>
                            <w:r w:rsidRPr="004F0A63">
                              <w:rPr>
                                <w:rFonts w:cs="Open Sans"/>
                                <w:lang w:val="en-GB" w:eastAsia="zh-TW"/>
                              </w:rPr>
                              <w:t xml:space="preserve">In 2017 Foodstuffs began developing a New World supermarket in the </w:t>
                            </w:r>
                            <w:proofErr w:type="spellStart"/>
                            <w:r w:rsidRPr="004F0A63">
                              <w:rPr>
                                <w:rFonts w:cs="Open Sans"/>
                                <w:lang w:val="en-GB" w:eastAsia="zh-TW"/>
                              </w:rPr>
                              <w:t>Prestons</w:t>
                            </w:r>
                            <w:proofErr w:type="spellEnd"/>
                            <w:r w:rsidRPr="004F0A63">
                              <w:rPr>
                                <w:rFonts w:cs="Open Sans"/>
                                <w:lang w:val="en-GB" w:eastAsia="zh-TW"/>
                              </w:rPr>
                              <w:t xml:space="preserve"> suburb</w:t>
                            </w:r>
                            <w:r>
                              <w:rPr>
                                <w:rFonts w:cs="Open Sans"/>
                                <w:lang w:val="en-GB" w:eastAsia="zh-TW"/>
                              </w:rPr>
                              <w:t xml:space="preserve"> of Christchurch</w:t>
                            </w:r>
                            <w:r w:rsidRPr="004F0A63">
                              <w:rPr>
                                <w:rFonts w:cs="Open Sans"/>
                                <w:lang w:val="en-GB" w:eastAsia="zh-TW"/>
                              </w:rPr>
                              <w:t xml:space="preserve">. The initial DC charges did not fully </w:t>
                            </w:r>
                            <w:proofErr w:type="gramStart"/>
                            <w:r w:rsidRPr="004F0A63">
                              <w:rPr>
                                <w:rFonts w:cs="Open Sans"/>
                                <w:lang w:val="en-GB" w:eastAsia="zh-TW"/>
                              </w:rPr>
                              <w:t>take into account</w:t>
                            </w:r>
                            <w:proofErr w:type="gramEnd"/>
                            <w:r w:rsidRPr="004F0A63">
                              <w:rPr>
                                <w:rFonts w:cs="Open Sans"/>
                                <w:lang w:val="en-GB" w:eastAsia="zh-TW"/>
                              </w:rPr>
                              <w:t xml:space="preserve"> the history of the development site. Referring to the history of the overall rezoning of the land, Foodstuffs applied for and received discounts for wastewater (based on the pump stations and mains works undertaken by the developers) as well as discounts for stormwater treatment and attenuation. There was a subsequent reduction in DCs from $349,116 to $168,276</w:t>
                            </w:r>
                            <w:r w:rsidRPr="004F0A63">
                              <w:rPr>
                                <w:lang w:val="en-GB" w:eastAsia="zh-TW"/>
                              </w:rPr>
                              <w:t xml:space="preserve">. </w:t>
                            </w:r>
                          </w:p>
                          <w:p w14:paraId="40E9B5FA" w14:textId="77777777" w:rsidR="005A4AFA" w:rsidRPr="00B01DA2" w:rsidRDefault="005A4AFA" w:rsidP="00081DC4">
                            <w:pPr>
                              <w:spacing w:after="320"/>
                              <w:rPr>
                                <w:rFonts w:eastAsia="Times New Roman" w:cs="Open Sans"/>
                                <w:sz w:val="18"/>
                                <w:szCs w:val="18"/>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006DFF" id="_x0000_t202" coordsize="21600,21600" o:spt="202" path="m,l,21600r21600,l21600,xe">
                <v:stroke joinstyle="miter"/>
                <v:path gradientshapeok="t" o:connecttype="rect"/>
              </v:shapetype>
              <v:shape id="Text Box 34" o:spid="_x0000_s1029" type="#_x0000_t202" style="position:absolute;left:0;text-align:left;margin-left:.95pt;margin-top:61.65pt;width:455.45pt;height:352.3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" fillcolor="white [3212]" strokecolor="#85aedc" strokeweight="1.5pt">
                <v:textbox>
                  <w:txbxContent>
                    <w:p w14:paraId="4F5724CA" w14:textId="6FA25E7C" w:rsidR="005A4AFA" w:rsidRDefault="005A4AFA" w:rsidP="00145479">
                      <w:pPr>
                        <w:pStyle w:val="Caption"/>
                        <w:ind w:right="6"/>
                        <w:jc w:val="left"/>
                      </w:pPr>
                      <w:bookmarkStart w:id="21" w:name="_Toc533411224"/>
                      <w:bookmarkStart w:id="22" w:name="_Toc522547042"/>
                      <w:r>
                        <w:t xml:space="preserve">Case study </w:t>
                      </w:r>
                      <w:r>
                        <w:rPr>
                          <w:noProof/>
                        </w:rPr>
                        <w:fldChar w:fldCharType="begin"/>
                      </w:r>
                      <w:r>
                        <w:rPr>
                          <w:noProof/>
                        </w:rPr>
                        <w:instrText xml:space="preserve"> SEQ Case_study \* ARABIC </w:instrText>
                      </w:r>
                      <w:r>
                        <w:rPr>
                          <w:noProof/>
                        </w:rPr>
                        <w:fldChar w:fldCharType="separate"/>
                      </w:r>
                      <w:r w:rsidR="0034416C">
                        <w:rPr>
                          <w:noProof/>
                        </w:rPr>
                        <w:t>2</w:t>
                      </w:r>
                      <w:r>
                        <w:rPr>
                          <w:noProof/>
                        </w:rPr>
                        <w:fldChar w:fldCharType="end"/>
                      </w:r>
                      <w:r>
                        <w:t>: Examples from Christchurch</w:t>
                      </w:r>
                      <w:bookmarkEnd w:id="21"/>
                    </w:p>
                    <w:p w14:paraId="5D2B2732" w14:textId="2E8D2E89" w:rsidR="005A4AFA" w:rsidRPr="004F0A63" w:rsidRDefault="005A4AFA" w:rsidP="00145479">
                      <w:pPr>
                        <w:ind w:right="3"/>
                        <w:rPr>
                          <w:rFonts w:cs="Open Sans"/>
                          <w:b/>
                          <w:color w:val="0070C0"/>
                          <w:lang w:val="en-AU"/>
                        </w:rPr>
                      </w:pPr>
                      <w:r w:rsidRPr="004F0A63">
                        <w:rPr>
                          <w:rFonts w:cs="Open Sans"/>
                          <w:b/>
                          <w:color w:val="000000" w:themeColor="text1"/>
                          <w:lang w:val="en-AU"/>
                        </w:rPr>
                        <w:t xml:space="preserve">Hornby: </w:t>
                      </w:r>
                      <w:r w:rsidRPr="004F0A63">
                        <w:rPr>
                          <w:rFonts w:cs="Open Sans"/>
                          <w:lang w:val="en-GB" w:eastAsia="zh-TW"/>
                        </w:rPr>
                        <w:t xml:space="preserve">Foodstuffs recently developed a new South Island distribution centre in Hornby, Christchurch. When the DCs were initially calculated by Christchurch City Council (CCC), the charges were based on an increase in HUEs using the proportional increase of the proposed building extension. Foodstuffs believed that this method overstated the actual impacts of the development, requesting a special assessment. After obtaining actual water usage readings, it was determined that the actual number of HUEs was substantially lower than the Council’s average. The DC charges were subsequently reduced from $1,196,240 to $384,512. </w:t>
                      </w:r>
                    </w:p>
                    <w:p w14:paraId="5B8B882C" w14:textId="77777777" w:rsidR="005A4AFA" w:rsidRPr="004F0A63" w:rsidRDefault="005A4AFA" w:rsidP="00145479">
                      <w:pPr>
                        <w:ind w:right="3"/>
                        <w:rPr>
                          <w:lang w:val="en-GB" w:eastAsia="zh-TW"/>
                        </w:rPr>
                      </w:pPr>
                      <w:r w:rsidRPr="004F0A63">
                        <w:rPr>
                          <w:rFonts w:cs="Open Sans"/>
                          <w:lang w:val="en-GB" w:eastAsia="zh-TW"/>
                        </w:rPr>
                        <w:t>Foodstuffs also queried the Council on the DC charges applied to a particular part of the distribution centre that houses a pick module system. This is an automated process for storing and accessing goods. CCC initially applied DC charges to this part of the site, despite it being entirely automated, requiring no additional workers (and thus imposed no extra impact on council water care infrastructure. Upon making its case to CCC, Foodstuffs eventually negotiated for the $51,033 charge on this area to be removed.</w:t>
                      </w:r>
                      <w:r w:rsidRPr="004F0A63">
                        <w:rPr>
                          <w:lang w:val="en-GB" w:eastAsia="zh-TW"/>
                        </w:rPr>
                        <w:t xml:space="preserve"> </w:t>
                      </w:r>
                    </w:p>
                    <w:p w14:paraId="12F3E61D" w14:textId="3C4041B9" w:rsidR="005A4AFA" w:rsidRPr="004F0A63" w:rsidRDefault="005A4AFA" w:rsidP="00145479">
                      <w:pPr>
                        <w:ind w:right="3"/>
                        <w:rPr>
                          <w:rFonts w:cs="Open Sans"/>
                          <w:b/>
                          <w:color w:val="0070C0"/>
                          <w:lang w:val="en-AU"/>
                        </w:rPr>
                      </w:pPr>
                      <w:r w:rsidRPr="004F0A63">
                        <w:rPr>
                          <w:rFonts w:cs="Open Sans"/>
                          <w:b/>
                          <w:color w:val="000000" w:themeColor="text1"/>
                          <w:lang w:val="en-AU"/>
                        </w:rPr>
                        <w:t>Prestons</w:t>
                      </w:r>
                      <w:bookmarkEnd w:id="22"/>
                      <w:r w:rsidRPr="004F0A63">
                        <w:rPr>
                          <w:rFonts w:cs="Open Sans"/>
                          <w:b/>
                          <w:color w:val="000000" w:themeColor="text1"/>
                          <w:lang w:val="en-AU"/>
                        </w:rPr>
                        <w:t>:</w:t>
                      </w:r>
                      <w:r w:rsidRPr="004F0A63">
                        <w:rPr>
                          <w:rFonts w:cs="Open Sans"/>
                          <w:b/>
                          <w:color w:val="0070C0"/>
                          <w:lang w:val="en-AU"/>
                        </w:rPr>
                        <w:t xml:space="preserve"> </w:t>
                      </w:r>
                      <w:r w:rsidRPr="004F0A63">
                        <w:rPr>
                          <w:rFonts w:cs="Open Sans"/>
                          <w:lang w:val="en-GB" w:eastAsia="zh-TW"/>
                        </w:rPr>
                        <w:t xml:space="preserve">In 2017 Foodstuffs began developing a New World supermarket in the </w:t>
                      </w:r>
                      <w:proofErr w:type="spellStart"/>
                      <w:r w:rsidRPr="004F0A63">
                        <w:rPr>
                          <w:rFonts w:cs="Open Sans"/>
                          <w:lang w:val="en-GB" w:eastAsia="zh-TW"/>
                        </w:rPr>
                        <w:t>Prestons</w:t>
                      </w:r>
                      <w:proofErr w:type="spellEnd"/>
                      <w:r w:rsidRPr="004F0A63">
                        <w:rPr>
                          <w:rFonts w:cs="Open Sans"/>
                          <w:lang w:val="en-GB" w:eastAsia="zh-TW"/>
                        </w:rPr>
                        <w:t xml:space="preserve"> suburb</w:t>
                      </w:r>
                      <w:r>
                        <w:rPr>
                          <w:rFonts w:cs="Open Sans"/>
                          <w:lang w:val="en-GB" w:eastAsia="zh-TW"/>
                        </w:rPr>
                        <w:t xml:space="preserve"> of Christchurch</w:t>
                      </w:r>
                      <w:r w:rsidRPr="004F0A63">
                        <w:rPr>
                          <w:rFonts w:cs="Open Sans"/>
                          <w:lang w:val="en-GB" w:eastAsia="zh-TW"/>
                        </w:rPr>
                        <w:t xml:space="preserve">. The initial DC charges did not fully </w:t>
                      </w:r>
                      <w:proofErr w:type="gramStart"/>
                      <w:r w:rsidRPr="004F0A63">
                        <w:rPr>
                          <w:rFonts w:cs="Open Sans"/>
                          <w:lang w:val="en-GB" w:eastAsia="zh-TW"/>
                        </w:rPr>
                        <w:t>take into account</w:t>
                      </w:r>
                      <w:proofErr w:type="gramEnd"/>
                      <w:r w:rsidRPr="004F0A63">
                        <w:rPr>
                          <w:rFonts w:cs="Open Sans"/>
                          <w:lang w:val="en-GB" w:eastAsia="zh-TW"/>
                        </w:rPr>
                        <w:t xml:space="preserve"> the history of the development site. Referring to the history of the overall rezoning of the land, Foodstuffs applied for and received discounts for wastewater (based on the pump stations and mains works undertaken by the developers) as well as discounts for stormwater treatment and attenuation. There was a subsequent reduction in DCs from $349,116 to $168,276</w:t>
                      </w:r>
                      <w:r w:rsidRPr="004F0A63">
                        <w:rPr>
                          <w:lang w:val="en-GB" w:eastAsia="zh-TW"/>
                        </w:rPr>
                        <w:t xml:space="preserve">. </w:t>
                      </w:r>
                    </w:p>
                    <w:p w14:paraId="40E9B5FA" w14:textId="77777777" w:rsidR="005A4AFA" w:rsidRPr="00B01DA2" w:rsidRDefault="005A4AFA" w:rsidP="00081DC4">
                      <w:pPr>
                        <w:spacing w:after="320"/>
                        <w:rPr>
                          <w:rFonts w:eastAsia="Times New Roman" w:cs="Open Sans"/>
                          <w:sz w:val="18"/>
                          <w:szCs w:val="18"/>
                          <w:lang w:val="en-AU"/>
                        </w:rPr>
                      </w:pPr>
                    </w:p>
                  </w:txbxContent>
                </v:textbox>
                <w10:wrap type="square"/>
              </v:shape>
            </w:pict>
          </mc:Fallback>
        </mc:AlternateContent>
      </w:r>
      <w:r>
        <w:t xml:space="preserve">Christchurch has been another recent development area for Foodstuffs. Foodstuffs has found that in a number of cases charges have been disproportionate to the actual impact of the development. Case study 2 below details a number of examples. </w:t>
      </w:r>
    </w:p>
    <w:p w14:paraId="48EF939D" w14:textId="7F4CFCA0" w:rsidR="00EA5CD7" w:rsidRDefault="00081DC4" w:rsidP="0044288A">
      <w:r w:rsidRPr="00C95CD0">
        <w:rPr>
          <w:b/>
          <w:noProof/>
          <w:lang w:val="en-AU"/>
        </w:rPr>
        <w:lastRenderedPageBreak/>
        <mc:AlternateContent>
          <mc:Choice Requires="wps">
            <w:drawing>
              <wp:inline distT="0" distB="0" distL="0" distR="0" wp14:anchorId="2722B1B3" wp14:editId="15254644">
                <wp:extent cx="5784215" cy="2253916"/>
                <wp:effectExtent l="12700" t="12700" r="6985" b="6985"/>
                <wp:docPr id="53" name="Text Box 53"/>
                <wp:cNvGraphicFramePr/>
                <a:graphic xmlns:a="http://schemas.openxmlformats.org/drawingml/2006/main">
                  <a:graphicData uri="http://schemas.microsoft.com/office/word/2010/wordprocessingShape">
                    <wps:wsp>
                      <wps:cNvSpPr txBox="1"/>
                      <wps:spPr>
                        <a:xfrm>
                          <a:off x="0" y="0"/>
                          <a:ext cx="5784215" cy="2253916"/>
                        </a:xfrm>
                        <a:prstGeom prst="rect">
                          <a:avLst/>
                        </a:prstGeom>
                        <a:solidFill>
                          <a:schemeClr val="bg1"/>
                        </a:solidFill>
                        <a:ln w="19050">
                          <a:solidFill>
                            <a:srgbClr val="85AEDC"/>
                          </a:solidFill>
                        </a:ln>
                      </wps:spPr>
                      <wps:txbx>
                        <w:txbxContent>
                          <w:p w14:paraId="592BDDED" w14:textId="77777777" w:rsidR="005A4AFA" w:rsidRPr="004F0A63" w:rsidRDefault="005A4AFA" w:rsidP="00145479">
                            <w:pPr>
                              <w:rPr>
                                <w:rFonts w:cs="Open Sans"/>
                                <w:lang w:val="en-GB" w:eastAsia="zh-TW"/>
                              </w:rPr>
                            </w:pPr>
                            <w:r w:rsidRPr="004F0A63">
                              <w:rPr>
                                <w:rFonts w:cs="Open Sans"/>
                                <w:b/>
                                <w:color w:val="000000" w:themeColor="text1"/>
                                <w:lang w:val="en-AU"/>
                              </w:rPr>
                              <w:t xml:space="preserve">Wigram: </w:t>
                            </w:r>
                            <w:r w:rsidRPr="004F0A63">
                              <w:rPr>
                                <w:rFonts w:cs="Open Sans"/>
                                <w:color w:val="000000" w:themeColor="text1"/>
                                <w:lang w:val="en-GB" w:eastAsia="zh-TW"/>
                              </w:rPr>
                              <w:t xml:space="preserve">Foodstuffs </w:t>
                            </w:r>
                            <w:r w:rsidRPr="004F0A63">
                              <w:rPr>
                                <w:rFonts w:cs="Open Sans"/>
                                <w:lang w:val="en-GB" w:eastAsia="zh-TW"/>
                              </w:rPr>
                              <w:t xml:space="preserve">developed a New World supermarket in the Wigram Skies subdivision in 2015. In its initial DC assessment, CCC set a DC of $272,208 for stormwater. Foodstuffs queried this with CCC, on the basis that the New World site is in a subdivision that provides full stormwater treatment and attenuation, with no additional impact on the Council’s system. This led to CCC dropping the stormwater charges, reducing total DC charges from $504,555 to $232,247. </w:t>
                            </w:r>
                          </w:p>
                          <w:p w14:paraId="02ED9FAC" w14:textId="0B9DBF25" w:rsidR="005A4AFA" w:rsidRPr="004F0A63" w:rsidRDefault="005A4AFA" w:rsidP="00145479">
                            <w:pPr>
                              <w:ind w:right="2"/>
                              <w:rPr>
                                <w:rFonts w:cs="Open Sans"/>
                                <w:b/>
                                <w:color w:val="0070C0"/>
                                <w:lang w:val="en-AU"/>
                              </w:rPr>
                            </w:pPr>
                            <w:r w:rsidRPr="004F0A63">
                              <w:rPr>
                                <w:rFonts w:cs="Open Sans"/>
                                <w:b/>
                                <w:color w:val="000000" w:themeColor="text1"/>
                                <w:lang w:val="en-AU"/>
                              </w:rPr>
                              <w:t xml:space="preserve">Lincoln Road: </w:t>
                            </w:r>
                            <w:r w:rsidRPr="004F0A63">
                              <w:rPr>
                                <w:rFonts w:cs="Open Sans"/>
                                <w:color w:val="000000" w:themeColor="text1"/>
                                <w:lang w:val="en-GB" w:eastAsia="zh-TW"/>
                              </w:rPr>
                              <w:t xml:space="preserve">A similar </w:t>
                            </w:r>
                            <w:r w:rsidRPr="004F0A63">
                              <w:rPr>
                                <w:rFonts w:cs="Open Sans"/>
                                <w:lang w:val="en-GB" w:eastAsia="zh-TW"/>
                              </w:rPr>
                              <w:t xml:space="preserve">situation occurred with the </w:t>
                            </w:r>
                            <w:r>
                              <w:rPr>
                                <w:rFonts w:cs="Open Sans"/>
                                <w:lang w:val="en-GB" w:eastAsia="zh-TW"/>
                              </w:rPr>
                              <w:t>Addington New World</w:t>
                            </w:r>
                            <w:r w:rsidRPr="004F0A63">
                              <w:rPr>
                                <w:rFonts w:cs="Open Sans"/>
                                <w:lang w:val="en-GB" w:eastAsia="zh-TW"/>
                              </w:rPr>
                              <w:t xml:space="preserve"> site. The site provided full stormwater treatment and attenuation, meaning the supermarket has no impact on the Council’s system. Foodstuffs subsequently negotiated for the stormwater charges to be removed and historical credits applied. This reduced the DC charges from $324,277 to $68,277.</w:t>
                            </w:r>
                          </w:p>
                          <w:p w14:paraId="71134367" w14:textId="77777777" w:rsidR="005A4AFA" w:rsidRPr="00B01DA2" w:rsidRDefault="005A4AFA" w:rsidP="00081DC4">
                            <w:pPr>
                              <w:spacing w:after="320"/>
                              <w:rPr>
                                <w:rFonts w:eastAsia="Times New Roman" w:cs="Open Sans"/>
                                <w:sz w:val="18"/>
                                <w:szCs w:val="18"/>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22B1B3" id="Text Box 53" o:spid="_x0000_s1030" type="#_x0000_t202" style="width:455.45pt;height:17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" fillcolor="white [3212]" strokecolor="#85aedc" strokeweight="1.5pt">
                <v:textbox>
                  <w:txbxContent>
                    <w:p w14:paraId="592BDDED" w14:textId="77777777" w:rsidR="005A4AFA" w:rsidRPr="004F0A63" w:rsidRDefault="005A4AFA" w:rsidP="00145479">
                      <w:pPr>
                        <w:rPr>
                          <w:rFonts w:cs="Open Sans"/>
                          <w:lang w:val="en-GB" w:eastAsia="zh-TW"/>
                        </w:rPr>
                      </w:pPr>
                      <w:r w:rsidRPr="004F0A63">
                        <w:rPr>
                          <w:rFonts w:cs="Open Sans"/>
                          <w:b/>
                          <w:color w:val="000000" w:themeColor="text1"/>
                          <w:lang w:val="en-AU"/>
                        </w:rPr>
                        <w:t xml:space="preserve">Wigram: </w:t>
                      </w:r>
                      <w:r w:rsidRPr="004F0A63">
                        <w:rPr>
                          <w:rFonts w:cs="Open Sans"/>
                          <w:color w:val="000000" w:themeColor="text1"/>
                          <w:lang w:val="en-GB" w:eastAsia="zh-TW"/>
                        </w:rPr>
                        <w:t xml:space="preserve">Foodstuffs </w:t>
                      </w:r>
                      <w:r w:rsidRPr="004F0A63">
                        <w:rPr>
                          <w:rFonts w:cs="Open Sans"/>
                          <w:lang w:val="en-GB" w:eastAsia="zh-TW"/>
                        </w:rPr>
                        <w:t xml:space="preserve">developed a New World supermarket in the Wigram Skies subdivision in 2015. In its initial DC assessment, CCC set a DC of $272,208 for stormwater. Foodstuffs queried this with CCC, on the basis that the New World site is in a subdivision that provides full stormwater treatment and attenuation, with no additional impact on the Council’s system. This led to CCC dropping the stormwater charges, reducing total DC charges from $504,555 to $232,247. </w:t>
                      </w:r>
                    </w:p>
                    <w:p w14:paraId="02ED9FAC" w14:textId="0B9DBF25" w:rsidR="005A4AFA" w:rsidRPr="004F0A63" w:rsidRDefault="005A4AFA" w:rsidP="00145479">
                      <w:pPr>
                        <w:ind w:right="2"/>
                        <w:rPr>
                          <w:rFonts w:cs="Open Sans"/>
                          <w:b/>
                          <w:color w:val="0070C0"/>
                          <w:lang w:val="en-AU"/>
                        </w:rPr>
                      </w:pPr>
                      <w:r w:rsidRPr="004F0A63">
                        <w:rPr>
                          <w:rFonts w:cs="Open Sans"/>
                          <w:b/>
                          <w:color w:val="000000" w:themeColor="text1"/>
                          <w:lang w:val="en-AU"/>
                        </w:rPr>
                        <w:t xml:space="preserve">Lincoln Road: </w:t>
                      </w:r>
                      <w:r w:rsidRPr="004F0A63">
                        <w:rPr>
                          <w:rFonts w:cs="Open Sans"/>
                          <w:color w:val="000000" w:themeColor="text1"/>
                          <w:lang w:val="en-GB" w:eastAsia="zh-TW"/>
                        </w:rPr>
                        <w:t xml:space="preserve">A similar </w:t>
                      </w:r>
                      <w:r w:rsidRPr="004F0A63">
                        <w:rPr>
                          <w:rFonts w:cs="Open Sans"/>
                          <w:lang w:val="en-GB" w:eastAsia="zh-TW"/>
                        </w:rPr>
                        <w:t xml:space="preserve">situation occurred with the </w:t>
                      </w:r>
                      <w:r>
                        <w:rPr>
                          <w:rFonts w:cs="Open Sans"/>
                          <w:lang w:val="en-GB" w:eastAsia="zh-TW"/>
                        </w:rPr>
                        <w:t>Addington New World</w:t>
                      </w:r>
                      <w:r w:rsidRPr="004F0A63">
                        <w:rPr>
                          <w:rFonts w:cs="Open Sans"/>
                          <w:lang w:val="en-GB" w:eastAsia="zh-TW"/>
                        </w:rPr>
                        <w:t xml:space="preserve"> site. The site provided full stormwater treatment and attenuation, meaning the supermarket has no impact on the Council’s system. Foodstuffs subsequently negotiated for the stormwater charges to be removed and historical credits applied. This reduced the DC charges from $324,277 to $68,277.</w:t>
                      </w:r>
                    </w:p>
                    <w:p w14:paraId="71134367" w14:textId="77777777" w:rsidR="005A4AFA" w:rsidRPr="00B01DA2" w:rsidRDefault="005A4AFA" w:rsidP="00081DC4">
                      <w:pPr>
                        <w:spacing w:after="320"/>
                        <w:rPr>
                          <w:rFonts w:eastAsia="Times New Roman" w:cs="Open Sans"/>
                          <w:sz w:val="18"/>
                          <w:szCs w:val="18"/>
                          <w:lang w:val="en-AU"/>
                        </w:rPr>
                      </w:pPr>
                    </w:p>
                  </w:txbxContent>
                </v:textbox>
                <w10:anchorlock/>
              </v:shape>
            </w:pict>
          </mc:Fallback>
        </mc:AlternateContent>
      </w:r>
    </w:p>
    <w:p w14:paraId="4F84EC1F" w14:textId="77777777" w:rsidR="00D750A6" w:rsidRDefault="001E0C1D">
      <w:r>
        <w:t xml:space="preserve">In each of the cases above, the DC charge assessed by the local council </w:t>
      </w:r>
      <w:r w:rsidR="00783FFD">
        <w:t>was</w:t>
      </w:r>
      <w:r>
        <w:t xml:space="preserve"> significantly misaligned with the actual impact of the development. </w:t>
      </w:r>
      <w:r w:rsidR="00DA284D">
        <w:t>In the Hornsby case for example, the council’s original assessment of $1,196,240 was reduced to $384,512</w:t>
      </w:r>
      <w:r w:rsidR="003D77F5">
        <w:t xml:space="preserve"> once actual water readings were taken. </w:t>
      </w:r>
      <w:r w:rsidR="00A505EB">
        <w:t xml:space="preserve">This is more than a 300 percent decrease in charges, </w:t>
      </w:r>
      <w:r w:rsidR="00D750A6">
        <w:t>after</w:t>
      </w:r>
      <w:r w:rsidR="00A505EB">
        <w:t xml:space="preserve"> </w:t>
      </w:r>
      <w:r w:rsidR="008D5430">
        <w:t xml:space="preserve">a </w:t>
      </w:r>
      <w:r w:rsidR="00A505EB">
        <w:t xml:space="preserve">more accurate methodology was used to assess the </w:t>
      </w:r>
      <w:r w:rsidR="008D5430">
        <w:t xml:space="preserve">impacts of the development. </w:t>
      </w:r>
    </w:p>
    <w:p w14:paraId="1068012E" w14:textId="41258027" w:rsidR="004F256A" w:rsidRDefault="008D5430">
      <w:r>
        <w:t>The</w:t>
      </w:r>
      <w:r w:rsidR="00A505EB">
        <w:t xml:space="preserve"> </w:t>
      </w:r>
      <w:r w:rsidR="00EF0D40">
        <w:t>propensity for this lev</w:t>
      </w:r>
      <w:r>
        <w:t>el of disparity between council-</w:t>
      </w:r>
      <w:r w:rsidR="00EF0D40">
        <w:t xml:space="preserve">assessed DC estimates and the proportionate level of charging creates real cause for concern over how the system is currently functioning. </w:t>
      </w:r>
      <w:r>
        <w:t xml:space="preserve">Foodstuffs has capacity to assess and challenge the </w:t>
      </w:r>
      <w:proofErr w:type="gramStart"/>
      <w:r>
        <w:t>charges</w:t>
      </w:r>
      <w:proofErr w:type="gramEnd"/>
      <w:r>
        <w:t xml:space="preserve"> but other smaller developers may not. </w:t>
      </w:r>
      <w:r w:rsidR="004674EE">
        <w:t>Th</w:t>
      </w:r>
      <w:r>
        <w:t xml:space="preserve">e </w:t>
      </w:r>
      <w:proofErr w:type="spellStart"/>
      <w:r>
        <w:t>Prestons</w:t>
      </w:r>
      <w:proofErr w:type="spellEnd"/>
      <w:r>
        <w:t>, Wigram and Lincoln R</w:t>
      </w:r>
      <w:r w:rsidR="004674EE">
        <w:t xml:space="preserve">oad cases </w:t>
      </w:r>
      <w:r>
        <w:t>all</w:t>
      </w:r>
      <w:r w:rsidR="004674EE">
        <w:t xml:space="preserve"> involve a </w:t>
      </w:r>
      <w:r w:rsidR="008927F8">
        <w:t xml:space="preserve">concerning </w:t>
      </w:r>
      <w:r w:rsidR="004674EE">
        <w:t xml:space="preserve">difference between assessed DCs and actual impacts, with eventual amendments in charges ranging </w:t>
      </w:r>
      <w:r w:rsidR="00A31258">
        <w:t>between 200 and 470 percent.</w:t>
      </w:r>
    </w:p>
    <w:p w14:paraId="51DA88EF" w14:textId="71C243EA" w:rsidR="00092866" w:rsidRDefault="00F738B9" w:rsidP="001A767E">
      <w:pPr>
        <w:pStyle w:val="Heading2"/>
      </w:pPr>
      <w:bookmarkStart w:id="23" w:name="_Toc533411198"/>
      <w:r>
        <w:t>Variation</w:t>
      </w:r>
      <w:r w:rsidR="00661EAA">
        <w:t>s</w:t>
      </w:r>
      <w:r>
        <w:t xml:space="preserve"> in charging</w:t>
      </w:r>
      <w:bookmarkEnd w:id="23"/>
    </w:p>
    <w:p w14:paraId="6D551E1F" w14:textId="0DBE4C89" w:rsidR="0084664F" w:rsidRDefault="008A6C97" w:rsidP="00A8596C">
      <w:pPr>
        <w:rPr>
          <w:lang w:val="en-GB" w:eastAsia="zh-TW"/>
        </w:rPr>
      </w:pPr>
      <w:r>
        <w:rPr>
          <w:lang w:val="en-GB" w:eastAsia="zh-TW"/>
        </w:rPr>
        <w:t xml:space="preserve">Variation in charging </w:t>
      </w:r>
      <w:r w:rsidR="00576C8C">
        <w:rPr>
          <w:lang w:val="en-GB" w:eastAsia="zh-TW"/>
        </w:rPr>
        <w:t xml:space="preserve">is </w:t>
      </w:r>
      <w:r w:rsidR="00D97D3B">
        <w:rPr>
          <w:lang w:val="en-GB" w:eastAsia="zh-TW"/>
        </w:rPr>
        <w:t>a long-</w:t>
      </w:r>
      <w:r>
        <w:rPr>
          <w:lang w:val="en-GB" w:eastAsia="zh-TW"/>
        </w:rPr>
        <w:t xml:space="preserve">standing issue with the DC system. </w:t>
      </w:r>
      <w:r w:rsidR="0084664F">
        <w:rPr>
          <w:lang w:val="en-GB" w:eastAsia="zh-TW"/>
        </w:rPr>
        <w:t xml:space="preserve">Issue 4 of the DIA’s 2013 review (shown below) </w:t>
      </w:r>
      <w:r w:rsidR="00D97D3B">
        <w:rPr>
          <w:lang w:val="en-GB" w:eastAsia="zh-TW"/>
        </w:rPr>
        <w:t>addressed</w:t>
      </w:r>
      <w:r w:rsidR="0084664F">
        <w:rPr>
          <w:lang w:val="en-GB" w:eastAsia="zh-TW"/>
        </w:rPr>
        <w:t xml:space="preserve"> this point.</w:t>
      </w:r>
    </w:p>
    <w:p w14:paraId="2BDE3326" w14:textId="2B2993AE" w:rsidR="008A6C97" w:rsidRPr="0084664F" w:rsidRDefault="0084664F" w:rsidP="0084664F">
      <w:pPr>
        <w:pStyle w:val="ListParagraph"/>
        <w:spacing w:after="200" w:line="276" w:lineRule="auto"/>
        <w:ind w:left="714"/>
        <w:contextualSpacing w:val="0"/>
        <w:rPr>
          <w:i/>
          <w:lang w:val="en-GB" w:eastAsia="zh-TW"/>
        </w:rPr>
      </w:pPr>
      <w:r w:rsidRPr="0084664F">
        <w:rPr>
          <w:i/>
          <w:lang w:val="en-GB" w:eastAsia="zh-TW"/>
        </w:rPr>
        <w:t xml:space="preserve">Issue 4: </w:t>
      </w:r>
      <w:r w:rsidR="008A6C97" w:rsidRPr="0084664F">
        <w:rPr>
          <w:i/>
          <w:lang w:val="en-GB" w:eastAsia="zh-TW"/>
        </w:rPr>
        <w:t>variability and inconsistency in the use of development contributions means charges are unpredictable and raises questions around fairness</w:t>
      </w:r>
      <w:r w:rsidR="008A6C97" w:rsidRPr="00F91EEC">
        <w:rPr>
          <w:i/>
          <w:lang w:val="en-GB" w:eastAsia="zh-TW"/>
        </w:rPr>
        <w:t xml:space="preserve"> and transparency;</w:t>
      </w:r>
      <w:r w:rsidR="00717CD7" w:rsidRPr="00F91EEC">
        <w:rPr>
          <w:rStyle w:val="FootnoteReference"/>
          <w:i/>
          <w:sz w:val="20"/>
          <w:lang w:val="en-GB" w:eastAsia="zh-TW"/>
        </w:rPr>
        <w:footnoteReference w:id="15"/>
      </w:r>
    </w:p>
    <w:p w14:paraId="0AFADDFB" w14:textId="56B22604" w:rsidR="003831A8" w:rsidRDefault="0068027A" w:rsidP="00A8596C">
      <w:pPr>
        <w:rPr>
          <w:lang w:val="en-GB" w:eastAsia="zh-TW"/>
        </w:rPr>
      </w:pPr>
      <w:r>
        <w:rPr>
          <w:noProof/>
          <w:lang w:val="en-GB" w:eastAsia="zh-TW"/>
        </w:rPr>
        <mc:AlternateContent>
          <mc:Choice Requires="wps">
            <w:drawing>
              <wp:anchor distT="0" distB="0" distL="114300" distR="114300" simplePos="0" relativeHeight="251769856" behindDoc="1" locked="0" layoutInCell="1" allowOverlap="1" wp14:anchorId="2BB35BD8" wp14:editId="7B9C0370">
                <wp:simplePos x="0" y="0"/>
                <wp:positionH relativeFrom="column">
                  <wp:posOffset>27940</wp:posOffset>
                </wp:positionH>
                <wp:positionV relativeFrom="paragraph">
                  <wp:posOffset>822960</wp:posOffset>
                </wp:positionV>
                <wp:extent cx="5688330" cy="745490"/>
                <wp:effectExtent l="0" t="0" r="1270" b="3810"/>
                <wp:wrapTopAndBottom/>
                <wp:docPr id="23" name="Rectangle 23"/>
                <wp:cNvGraphicFramePr/>
                <a:graphic xmlns:a="http://schemas.openxmlformats.org/drawingml/2006/main">
                  <a:graphicData uri="http://schemas.microsoft.com/office/word/2010/wordprocessingShape">
                    <wps:wsp>
                      <wps:cNvSpPr/>
                      <wps:spPr>
                        <a:xfrm>
                          <a:off x="0" y="0"/>
                          <a:ext cx="5688330" cy="745490"/>
                        </a:xfrm>
                        <a:prstGeom prst="rect">
                          <a:avLst/>
                        </a:prstGeom>
                        <a:solidFill>
                          <a:srgbClr val="85AEDC">
                            <a:alpha val="3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B721C3" w14:textId="1904A1CF" w:rsidR="005A4AFA" w:rsidRPr="00574BC4" w:rsidRDefault="005A4AFA" w:rsidP="0068027A">
                            <w:pPr>
                              <w:rPr>
                                <w:rFonts w:cs="Open Sans"/>
                                <w:i/>
                                <w:color w:val="000000" w:themeColor="text1"/>
                                <w:lang w:val="en-GB" w:eastAsia="zh-TW"/>
                              </w:rPr>
                            </w:pPr>
                            <w:r w:rsidRPr="00324F64">
                              <w:rPr>
                                <w:b/>
                                <w:i/>
                                <w:color w:val="183F7C"/>
                                <w:lang w:val="en-GB" w:eastAsia="ja-JP"/>
                              </w:rPr>
                              <w:t xml:space="preserve">Principle f: </w:t>
                            </w:r>
                            <w:r w:rsidRPr="00324F64">
                              <w:rPr>
                                <w:rFonts w:cs="Open Sans"/>
                                <w:i/>
                                <w:color w:val="000000" w:themeColor="text1"/>
                                <w:lang w:val="en-GB" w:eastAsia="zh-TW"/>
                              </w:rPr>
                              <w:t>development contributions should be predictable and be consistent with the methodology and schedules of the territorial authority’s development contributions policy under sections 106, 201, and 202;</w:t>
                            </w:r>
                          </w:p>
                          <w:p w14:paraId="2FF59652" w14:textId="77777777" w:rsidR="005A4AFA" w:rsidRPr="00B24C20" w:rsidRDefault="005A4AFA" w:rsidP="00550C39">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35BD8" id="Rectangle 23" o:spid="_x0000_s1031" style="position:absolute;left:0;text-align:left;margin-left:2.2pt;margin-top:64.8pt;width:447.9pt;height:58.7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" fillcolor="#85aedc" stroked="f" strokeweight="2pt">
                <v:fill opacity="22359f"/>
                <v:textbox>
                  <w:txbxContent>
                    <w:p w14:paraId="3FB721C3" w14:textId="1904A1CF" w:rsidR="005A4AFA" w:rsidRPr="00574BC4" w:rsidRDefault="005A4AFA" w:rsidP="0068027A">
                      <w:pPr>
                        <w:rPr>
                          <w:rFonts w:cs="Open Sans"/>
                          <w:i/>
                          <w:color w:val="000000" w:themeColor="text1"/>
                          <w:lang w:val="en-GB" w:eastAsia="zh-TW"/>
                        </w:rPr>
                      </w:pPr>
                      <w:r w:rsidRPr="00324F64">
                        <w:rPr>
                          <w:b/>
                          <w:i/>
                          <w:color w:val="183F7C"/>
                          <w:lang w:val="en-GB" w:eastAsia="ja-JP"/>
                        </w:rPr>
                        <w:t xml:space="preserve">Principle f: </w:t>
                      </w:r>
                      <w:r w:rsidRPr="00324F64">
                        <w:rPr>
                          <w:rFonts w:cs="Open Sans"/>
                          <w:i/>
                          <w:color w:val="000000" w:themeColor="text1"/>
                          <w:lang w:val="en-GB" w:eastAsia="zh-TW"/>
                        </w:rPr>
                        <w:t>development contributions should be predictable and be consistent with the methodology and schedules of the territorial authority’s development contributions policy under sections 106, 201, and 202;</w:t>
                      </w:r>
                    </w:p>
                    <w:p w14:paraId="2FF59652" w14:textId="77777777" w:rsidR="005A4AFA" w:rsidRPr="00B24C20" w:rsidRDefault="005A4AFA" w:rsidP="00550C39">
                      <w:pPr>
                        <w:jc w:val="center"/>
                        <w:rPr>
                          <w:lang w:val="en-GB"/>
                        </w:rPr>
                      </w:pPr>
                    </w:p>
                  </w:txbxContent>
                </v:textbox>
                <w10:wrap type="topAndBottom"/>
              </v:rect>
            </w:pict>
          </mc:Fallback>
        </mc:AlternateContent>
      </w:r>
      <w:r w:rsidR="00E16B22">
        <w:rPr>
          <w:lang w:val="en-GB" w:eastAsia="zh-TW"/>
        </w:rPr>
        <w:t xml:space="preserve">Part of the purpose of legislating the DC principles in 2014 was to address variability and inconsistency </w:t>
      </w:r>
      <w:r>
        <w:rPr>
          <w:lang w:val="en-GB" w:eastAsia="zh-TW"/>
        </w:rPr>
        <w:t xml:space="preserve">issues. </w:t>
      </w:r>
      <w:r w:rsidRPr="002345CC">
        <w:rPr>
          <w:b/>
          <w:color w:val="273B78"/>
          <w:lang w:val="en-GB" w:eastAsia="zh-TW"/>
        </w:rPr>
        <w:t>P</w:t>
      </w:r>
      <w:r w:rsidR="00EE174E" w:rsidRPr="002345CC">
        <w:rPr>
          <w:b/>
          <w:color w:val="273B78"/>
          <w:lang w:val="en-GB" w:eastAsia="zh-TW"/>
        </w:rPr>
        <w:t>rinciple f</w:t>
      </w:r>
      <w:r w:rsidR="00EC2659" w:rsidRPr="002345CC">
        <w:rPr>
          <w:color w:val="273B78"/>
          <w:lang w:val="en-GB" w:eastAsia="zh-TW"/>
        </w:rPr>
        <w:t xml:space="preserve"> </w:t>
      </w:r>
      <w:r w:rsidR="000753DF">
        <w:rPr>
          <w:lang w:val="en-GB" w:eastAsia="zh-TW"/>
        </w:rPr>
        <w:t>shown</w:t>
      </w:r>
      <w:r w:rsidR="00EC2659">
        <w:rPr>
          <w:lang w:val="en-GB" w:eastAsia="zh-TW"/>
        </w:rPr>
        <w:t xml:space="preserve"> below directly states that DCs should be predictable and consistent with </w:t>
      </w:r>
      <w:r w:rsidR="00D97D3B">
        <w:rPr>
          <w:lang w:val="en-GB" w:eastAsia="zh-TW"/>
        </w:rPr>
        <w:t xml:space="preserve">the council’s DC policy </w:t>
      </w:r>
      <w:r w:rsidR="00EC2659">
        <w:rPr>
          <w:lang w:val="en-GB" w:eastAsia="zh-TW"/>
        </w:rPr>
        <w:t xml:space="preserve">methodology. </w:t>
      </w:r>
    </w:p>
    <w:p w14:paraId="0EE53857" w14:textId="31869FBB" w:rsidR="004F287E" w:rsidRDefault="004F287E" w:rsidP="00A8596C">
      <w:pPr>
        <w:rPr>
          <w:lang w:val="en-GB" w:eastAsia="zh-TW"/>
        </w:rPr>
      </w:pPr>
    </w:p>
    <w:p w14:paraId="0C033E12" w14:textId="7DC53218" w:rsidR="004F287E" w:rsidRDefault="000753DF" w:rsidP="00D564DB">
      <w:pPr>
        <w:spacing w:after="240"/>
        <w:rPr>
          <w:lang w:val="en-GB" w:eastAsia="zh-TW"/>
        </w:rPr>
      </w:pPr>
      <w:r>
        <w:rPr>
          <w:lang w:val="en-GB" w:eastAsia="zh-TW"/>
        </w:rPr>
        <w:t>Despite</w:t>
      </w:r>
      <w:r w:rsidR="004F287E">
        <w:rPr>
          <w:lang w:val="en-GB" w:eastAsia="zh-TW"/>
        </w:rPr>
        <w:t xml:space="preserve"> </w:t>
      </w:r>
      <w:r w:rsidR="002124DA">
        <w:rPr>
          <w:lang w:val="en-GB" w:eastAsia="zh-TW"/>
        </w:rPr>
        <w:t xml:space="preserve">the </w:t>
      </w:r>
      <w:r w:rsidR="00971298">
        <w:rPr>
          <w:lang w:val="en-GB" w:eastAsia="zh-TW"/>
        </w:rPr>
        <w:t xml:space="preserve">introduction of DC principles in 2014, </w:t>
      </w:r>
      <w:r w:rsidR="004F287E">
        <w:rPr>
          <w:lang w:val="en-GB" w:eastAsia="zh-TW"/>
        </w:rPr>
        <w:t>problems still exist to do with variation</w:t>
      </w:r>
      <w:r w:rsidR="00D97D3B">
        <w:rPr>
          <w:lang w:val="en-GB" w:eastAsia="zh-TW"/>
        </w:rPr>
        <w:t>s</w:t>
      </w:r>
      <w:r w:rsidR="004F287E">
        <w:rPr>
          <w:lang w:val="en-GB" w:eastAsia="zh-TW"/>
        </w:rPr>
        <w:t xml:space="preserve"> in </w:t>
      </w:r>
      <w:r w:rsidR="0020219E">
        <w:rPr>
          <w:lang w:val="en-GB" w:eastAsia="zh-TW"/>
        </w:rPr>
        <w:t>DC charging. These tend to fall into</w:t>
      </w:r>
      <w:r w:rsidR="004F287E">
        <w:rPr>
          <w:lang w:val="en-GB" w:eastAsia="zh-TW"/>
        </w:rPr>
        <w:t xml:space="preserve"> the following three categories:</w:t>
      </w:r>
    </w:p>
    <w:p w14:paraId="4A80C09F" w14:textId="2932C93A" w:rsidR="004F287E" w:rsidRDefault="004F287E" w:rsidP="00D564DB">
      <w:pPr>
        <w:pStyle w:val="ListParagraph"/>
        <w:numPr>
          <w:ilvl w:val="0"/>
          <w:numId w:val="24"/>
        </w:numPr>
        <w:spacing w:after="120" w:line="276" w:lineRule="auto"/>
        <w:ind w:left="714" w:hanging="357"/>
        <w:contextualSpacing w:val="0"/>
        <w:rPr>
          <w:lang w:val="en-GB" w:eastAsia="zh-TW"/>
        </w:rPr>
      </w:pPr>
      <w:r>
        <w:rPr>
          <w:lang w:val="en-GB" w:eastAsia="zh-TW"/>
        </w:rPr>
        <w:t>variation between councils;</w:t>
      </w:r>
    </w:p>
    <w:p w14:paraId="1C5E7BD5" w14:textId="08D8774B" w:rsidR="004F287E" w:rsidRDefault="004F287E" w:rsidP="00D564DB">
      <w:pPr>
        <w:pStyle w:val="ListParagraph"/>
        <w:numPr>
          <w:ilvl w:val="0"/>
          <w:numId w:val="24"/>
        </w:numPr>
        <w:spacing w:after="120" w:line="276" w:lineRule="auto"/>
        <w:ind w:left="714" w:hanging="357"/>
        <w:contextualSpacing w:val="0"/>
        <w:rPr>
          <w:lang w:val="en-GB" w:eastAsia="zh-TW"/>
        </w:rPr>
      </w:pPr>
      <w:r>
        <w:rPr>
          <w:lang w:val="en-GB" w:eastAsia="zh-TW"/>
        </w:rPr>
        <w:t>variation between developments; and</w:t>
      </w:r>
    </w:p>
    <w:p w14:paraId="73652D38" w14:textId="172A13E1" w:rsidR="004F287E" w:rsidRPr="004F287E" w:rsidRDefault="004F287E" w:rsidP="00D564DB">
      <w:pPr>
        <w:pStyle w:val="ListParagraph"/>
        <w:numPr>
          <w:ilvl w:val="0"/>
          <w:numId w:val="24"/>
        </w:numPr>
        <w:spacing w:after="240" w:line="276" w:lineRule="auto"/>
        <w:ind w:left="714" w:hanging="357"/>
        <w:contextualSpacing w:val="0"/>
        <w:rPr>
          <w:lang w:val="en-GB" w:eastAsia="zh-TW"/>
        </w:rPr>
      </w:pPr>
      <w:r>
        <w:rPr>
          <w:lang w:val="en-GB" w:eastAsia="zh-TW"/>
        </w:rPr>
        <w:t>variation between policy years.</w:t>
      </w:r>
    </w:p>
    <w:p w14:paraId="1864B033" w14:textId="0EA5DFFD" w:rsidR="00173B02" w:rsidRDefault="00C6427F" w:rsidP="00CC16A6">
      <w:pPr>
        <w:pStyle w:val="Heading3"/>
      </w:pPr>
      <w:r>
        <w:lastRenderedPageBreak/>
        <w:t>Variation b</w:t>
      </w:r>
      <w:r w:rsidR="00CC16A6">
        <w:t>etween councils</w:t>
      </w:r>
    </w:p>
    <w:p w14:paraId="1F04EB91" w14:textId="492A7FDF" w:rsidR="005445B7" w:rsidRDefault="00F470BA" w:rsidP="00580008">
      <w:r>
        <w:t>As stated above, one of the intentions of adding the DC purpose and pr</w:t>
      </w:r>
      <w:r w:rsidR="00AD74D5">
        <w:t>inciples</w:t>
      </w:r>
      <w:r w:rsidR="00D97D3B">
        <w:t xml:space="preserve"> to the act</w:t>
      </w:r>
      <w:r w:rsidR="00AD74D5">
        <w:t xml:space="preserve"> was to improve the consistency of charging structures. </w:t>
      </w:r>
      <w:r w:rsidR="00D97D3B">
        <w:t>Despite this</w:t>
      </w:r>
      <w:r w:rsidR="0016696B">
        <w:t xml:space="preserve">, Foodstuffs </w:t>
      </w:r>
      <w:r w:rsidR="00D97D3B">
        <w:t xml:space="preserve">development managers have advised us </w:t>
      </w:r>
      <w:r w:rsidR="0016696B">
        <w:t>that one of the difficulties they find as a nationwide developer is the variation in charging mechanisms between different local councils.</w:t>
      </w:r>
      <w:r w:rsidR="005A2BEB">
        <w:t xml:space="preserve"> </w:t>
      </w:r>
      <w:r w:rsidR="00AA236B">
        <w:t xml:space="preserve">The methodology behind DC policies and interpretation of these documents tends </w:t>
      </w:r>
      <w:r w:rsidR="00D97D3B">
        <w:t xml:space="preserve">to vary </w:t>
      </w:r>
      <w:r w:rsidR="00635AB2">
        <w:t xml:space="preserve">to the extent that </w:t>
      </w:r>
      <w:r w:rsidR="00AA236B">
        <w:t>Foodstuffs’ developers can build familiarity with one council’s DC policy, only to be entirely lost within another’</w:t>
      </w:r>
      <w:r w:rsidR="009717DD">
        <w:t>s.</w:t>
      </w:r>
    </w:p>
    <w:p w14:paraId="072B5CEB" w14:textId="191E83B3" w:rsidR="005445B7" w:rsidRDefault="005445B7" w:rsidP="005445B7">
      <w:pPr>
        <w:pStyle w:val="Heading3"/>
      </w:pPr>
      <w:r>
        <w:t>Variation between developments</w:t>
      </w:r>
      <w:r w:rsidR="00211E03">
        <w:t xml:space="preserve"> and policy years</w:t>
      </w:r>
    </w:p>
    <w:p w14:paraId="1639DE63" w14:textId="358BE0B6" w:rsidR="002A2336" w:rsidRDefault="005445B7" w:rsidP="00580008">
      <w:r>
        <w:t xml:space="preserve">A robust and fair system should be consistent in the way that different developments are charged. </w:t>
      </w:r>
      <w:r w:rsidR="00D52451">
        <w:t xml:space="preserve">Foodstuffs has found </w:t>
      </w:r>
      <w:r w:rsidR="00D97D3B">
        <w:t xml:space="preserve">however </w:t>
      </w:r>
      <w:r w:rsidR="00D52451">
        <w:t xml:space="preserve">that DC charges from one development to the next can be highly unpredictable, which raises questions about the </w:t>
      </w:r>
      <w:r w:rsidR="00611F85">
        <w:t>accurateness</w:t>
      </w:r>
      <w:r w:rsidR="00711F7D">
        <w:t xml:space="preserve"> of the charges being assessed. If charges are indeed proportionate to the impact a development has on council infrastructure, it would be expected that developments that are alike are charged accordingly.</w:t>
      </w:r>
    </w:p>
    <w:p w14:paraId="625502BE" w14:textId="6B53E247" w:rsidR="004F0A63" w:rsidRDefault="00145479" w:rsidP="00580008">
      <w:r w:rsidRPr="00C95CD0">
        <w:rPr>
          <w:b/>
          <w:noProof/>
          <w:lang w:val="en-AU"/>
        </w:rPr>
        <mc:AlternateContent>
          <mc:Choice Requires="wps">
            <w:drawing>
              <wp:anchor distT="0" distB="0" distL="114300" distR="114300" simplePos="0" relativeHeight="251780096" behindDoc="0" locked="0" layoutInCell="1" allowOverlap="1" wp14:anchorId="5252AF55" wp14:editId="34FEB741">
                <wp:simplePos x="0" y="0"/>
                <wp:positionH relativeFrom="column">
                  <wp:posOffset>0</wp:posOffset>
                </wp:positionH>
                <wp:positionV relativeFrom="paragraph">
                  <wp:posOffset>770890</wp:posOffset>
                </wp:positionV>
                <wp:extent cx="5784215" cy="3019425"/>
                <wp:effectExtent l="12700" t="12700" r="6985" b="15875"/>
                <wp:wrapTopAndBottom/>
                <wp:docPr id="38" name="Text Box 38"/>
                <wp:cNvGraphicFramePr/>
                <a:graphic xmlns:a="http://schemas.openxmlformats.org/drawingml/2006/main">
                  <a:graphicData uri="http://schemas.microsoft.com/office/word/2010/wordprocessingShape">
                    <wps:wsp>
                      <wps:cNvSpPr txBox="1"/>
                      <wps:spPr>
                        <a:xfrm>
                          <a:off x="0" y="0"/>
                          <a:ext cx="5784215" cy="3019425"/>
                        </a:xfrm>
                        <a:prstGeom prst="rect">
                          <a:avLst/>
                        </a:prstGeom>
                        <a:solidFill>
                          <a:schemeClr val="bg1"/>
                        </a:solidFill>
                        <a:ln w="19050">
                          <a:solidFill>
                            <a:srgbClr val="85AEDC"/>
                          </a:solidFill>
                        </a:ln>
                      </wps:spPr>
                      <wps:txbx>
                        <w:txbxContent>
                          <w:p w14:paraId="70170EA5" w14:textId="2EC623C2" w:rsidR="005A4AFA" w:rsidRDefault="005A4AFA" w:rsidP="00145479">
                            <w:pPr>
                              <w:pStyle w:val="Caption"/>
                              <w:jc w:val="left"/>
                            </w:pPr>
                            <w:bookmarkStart w:id="24" w:name="_Toc533411225"/>
                            <w:r>
                              <w:t xml:space="preserve">Case study </w:t>
                            </w:r>
                            <w:r>
                              <w:rPr>
                                <w:noProof/>
                              </w:rPr>
                              <w:fldChar w:fldCharType="begin"/>
                            </w:r>
                            <w:r>
                              <w:rPr>
                                <w:noProof/>
                              </w:rPr>
                              <w:instrText xml:space="preserve"> SEQ Case_study \* ARABIC </w:instrText>
                            </w:r>
                            <w:r>
                              <w:rPr>
                                <w:noProof/>
                              </w:rPr>
                              <w:fldChar w:fldCharType="separate"/>
                            </w:r>
                            <w:r w:rsidR="0034416C">
                              <w:rPr>
                                <w:noProof/>
                              </w:rPr>
                              <w:t>3</w:t>
                            </w:r>
                            <w:r>
                              <w:rPr>
                                <w:noProof/>
                              </w:rPr>
                              <w:fldChar w:fldCharType="end"/>
                            </w:r>
                            <w:r>
                              <w:t>: Queenstown PAK’nSAVE continued</w:t>
                            </w:r>
                            <w:bookmarkEnd w:id="24"/>
                          </w:p>
                          <w:p w14:paraId="17205FD7" w14:textId="0029C5FA" w:rsidR="005A4AFA" w:rsidRDefault="005A4AFA" w:rsidP="00145479">
                            <w:pPr>
                              <w:rPr>
                                <w:rFonts w:cs="Open Sans"/>
                                <w:lang w:val="en-AU"/>
                              </w:rPr>
                            </w:pPr>
                            <w:r>
                              <w:rPr>
                                <w:rFonts w:eastAsia="Times New Roman" w:cs="Open Sans"/>
                                <w:lang w:val="en-AU"/>
                              </w:rPr>
                              <w:t xml:space="preserve">Directly adjacent to the new Frankton PAK’nSAVE is a Mitre 10 site, which was also developed by SPL. This site is approximately the same size as the PAK’nSAVE site, with an ISA of </w:t>
                            </w:r>
                            <w:r>
                              <w:rPr>
                                <w:rFonts w:cs="Open Sans"/>
                                <w:lang w:val="en-AU"/>
                              </w:rPr>
                              <w:t>17,482m</w:t>
                            </w:r>
                            <w:r w:rsidRPr="00460205">
                              <w:rPr>
                                <w:rFonts w:cs="Open Sans"/>
                                <w:vertAlign w:val="superscript"/>
                                <w:lang w:val="en-AU"/>
                              </w:rPr>
                              <w:t>2</w:t>
                            </w:r>
                            <w:r>
                              <w:rPr>
                                <w:rFonts w:cs="Open Sans"/>
                                <w:lang w:val="en-AU"/>
                              </w:rPr>
                              <w:t xml:space="preserve"> (88 percent of the PAK’nSAVE site). DCs for the Mitre 10 site were assessed under QLDC’s 2013/14 DC policy, while the PAK’nSAVE site was assessed under the 2015/16 policy. </w:t>
                            </w:r>
                          </w:p>
                          <w:p w14:paraId="1CCF312A" w14:textId="4E833B6B" w:rsidR="005A4AFA" w:rsidRPr="004F0A63" w:rsidRDefault="005A4AFA" w:rsidP="00145479">
                            <w:pPr>
                              <w:rPr>
                                <w:rFonts w:eastAsia="Times New Roman" w:cs="Open Sans"/>
                                <w:lang w:val="en-AU"/>
                              </w:rPr>
                            </w:pPr>
                            <w:r w:rsidRPr="004F0A63">
                              <w:rPr>
                                <w:rFonts w:eastAsia="Times New Roman" w:cs="Open Sans"/>
                                <w:lang w:val="en-AU"/>
                              </w:rPr>
                              <w:t>At the time of development, the stormwater DC levied on the Mitre 10 totalled to $86,739. Foodstuffs’ new PAK’nSAVE of similar size</w:t>
                            </w:r>
                            <w:r>
                              <w:rPr>
                                <w:rFonts w:eastAsia="Times New Roman" w:cs="Open Sans"/>
                                <w:lang w:val="en-AU"/>
                              </w:rPr>
                              <w:t>, immediately next door,</w:t>
                            </w:r>
                            <w:r w:rsidRPr="004F0A63">
                              <w:rPr>
                                <w:rFonts w:eastAsia="Times New Roman" w:cs="Open Sans"/>
                                <w:lang w:val="en-AU"/>
                              </w:rPr>
                              <w:t xml:space="preserve"> was then charged $388,971 for its stormwater DC. </w:t>
                            </w:r>
                          </w:p>
                          <w:p w14:paraId="65FFBF27" w14:textId="109F7C03" w:rsidR="005A4AFA" w:rsidRPr="004F0A63" w:rsidRDefault="005A4AFA" w:rsidP="00145479">
                            <w:pPr>
                              <w:rPr>
                                <w:rFonts w:eastAsia="Times New Roman" w:cs="Open Sans"/>
                                <w:lang w:val="en-AU"/>
                              </w:rPr>
                            </w:pPr>
                            <w:r w:rsidRPr="004F0A63">
                              <w:rPr>
                                <w:rFonts w:eastAsia="Times New Roman" w:cs="Open Sans"/>
                                <w:lang w:val="en-AU"/>
                              </w:rPr>
                              <w:t>It should be noted that both sites had similar on-site stormwater systems</w:t>
                            </w:r>
                            <w:r w:rsidR="006A3700">
                              <w:rPr>
                                <w:rFonts w:eastAsia="Times New Roman" w:cs="Open Sans"/>
                                <w:lang w:val="en-AU"/>
                              </w:rPr>
                              <w:t>,</w:t>
                            </w:r>
                            <w:r w:rsidRPr="004F0A63">
                              <w:rPr>
                                <w:rFonts w:eastAsia="Times New Roman" w:cs="Open Sans"/>
                                <w:lang w:val="en-AU"/>
                              </w:rPr>
                              <w:t xml:space="preserve"> and both were connected to the public system upon its completion. </w:t>
                            </w:r>
                          </w:p>
                          <w:p w14:paraId="0EBABDE1" w14:textId="3932A657" w:rsidR="005A4AFA" w:rsidRPr="004F0A63" w:rsidRDefault="005A4AFA" w:rsidP="00145479">
                            <w:pPr>
                              <w:rPr>
                                <w:rFonts w:eastAsia="Times New Roman" w:cs="Open Sans"/>
                                <w:lang w:val="en-AU"/>
                              </w:rPr>
                            </w:pPr>
                            <w:r w:rsidRPr="004F0A63">
                              <w:rPr>
                                <w:rFonts w:eastAsia="Times New Roman" w:cs="Open Sans"/>
                                <w:lang w:val="en-AU"/>
                              </w:rPr>
                              <w:t xml:space="preserve">When Foodstuffs raised the discrepancy between the two sites with QLDC, the response was “the charges were based on a different DC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52AF55" id="Text Box 38" o:spid="_x0000_s1032" type="#_x0000_t202" style="position:absolute;left:0;text-align:left;margin-left:0;margin-top:60.7pt;width:455.45pt;height:237.7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" fillcolor="white [3212]" strokecolor="#85aedc" strokeweight="1.5pt">
                <v:textbox>
                  <w:txbxContent>
                    <w:p w14:paraId="70170EA5" w14:textId="2EC623C2" w:rsidR="005A4AFA" w:rsidRDefault="005A4AFA" w:rsidP="00145479">
                      <w:pPr>
                        <w:pStyle w:val="Caption"/>
                        <w:jc w:val="left"/>
                      </w:pPr>
                      <w:bookmarkStart w:id="25" w:name="_Toc533411225"/>
                      <w:r>
                        <w:t xml:space="preserve">Case study </w:t>
                      </w:r>
                      <w:r>
                        <w:rPr>
                          <w:noProof/>
                        </w:rPr>
                        <w:fldChar w:fldCharType="begin"/>
                      </w:r>
                      <w:r>
                        <w:rPr>
                          <w:noProof/>
                        </w:rPr>
                        <w:instrText xml:space="preserve"> SEQ Case_study \* ARABIC </w:instrText>
                      </w:r>
                      <w:r>
                        <w:rPr>
                          <w:noProof/>
                        </w:rPr>
                        <w:fldChar w:fldCharType="separate"/>
                      </w:r>
                      <w:r w:rsidR="0034416C">
                        <w:rPr>
                          <w:noProof/>
                        </w:rPr>
                        <w:t>3</w:t>
                      </w:r>
                      <w:r>
                        <w:rPr>
                          <w:noProof/>
                        </w:rPr>
                        <w:fldChar w:fldCharType="end"/>
                      </w:r>
                      <w:r>
                        <w:t>: Queenstown PAK’nSAVE continued</w:t>
                      </w:r>
                      <w:bookmarkEnd w:id="25"/>
                    </w:p>
                    <w:p w14:paraId="17205FD7" w14:textId="0029C5FA" w:rsidR="005A4AFA" w:rsidRDefault="005A4AFA" w:rsidP="00145479">
                      <w:pPr>
                        <w:rPr>
                          <w:rFonts w:cs="Open Sans"/>
                          <w:lang w:val="en-AU"/>
                        </w:rPr>
                      </w:pPr>
                      <w:r>
                        <w:rPr>
                          <w:rFonts w:eastAsia="Times New Roman" w:cs="Open Sans"/>
                          <w:lang w:val="en-AU"/>
                        </w:rPr>
                        <w:t xml:space="preserve">Directly adjacent to the new Frankton PAK’nSAVE is a Mitre 10 site, which was also developed by SPL. This site is approximately the same size as the PAK’nSAVE site, with an ISA of </w:t>
                      </w:r>
                      <w:r>
                        <w:rPr>
                          <w:rFonts w:cs="Open Sans"/>
                          <w:lang w:val="en-AU"/>
                        </w:rPr>
                        <w:t>17,482m</w:t>
                      </w:r>
                      <w:r w:rsidRPr="00460205">
                        <w:rPr>
                          <w:rFonts w:cs="Open Sans"/>
                          <w:vertAlign w:val="superscript"/>
                          <w:lang w:val="en-AU"/>
                        </w:rPr>
                        <w:t>2</w:t>
                      </w:r>
                      <w:r>
                        <w:rPr>
                          <w:rFonts w:cs="Open Sans"/>
                          <w:lang w:val="en-AU"/>
                        </w:rPr>
                        <w:t xml:space="preserve"> (88 percent of the PAK’nSAVE site). DCs for the Mitre 10 site were assessed under QLDC’s 2013/14 DC policy, while the PAK’nSAVE site was assessed under the 2015/16 policy. </w:t>
                      </w:r>
                    </w:p>
                    <w:p w14:paraId="1CCF312A" w14:textId="4E833B6B" w:rsidR="005A4AFA" w:rsidRPr="004F0A63" w:rsidRDefault="005A4AFA" w:rsidP="00145479">
                      <w:pPr>
                        <w:rPr>
                          <w:rFonts w:eastAsia="Times New Roman" w:cs="Open Sans"/>
                          <w:lang w:val="en-AU"/>
                        </w:rPr>
                      </w:pPr>
                      <w:r w:rsidRPr="004F0A63">
                        <w:rPr>
                          <w:rFonts w:eastAsia="Times New Roman" w:cs="Open Sans"/>
                          <w:lang w:val="en-AU"/>
                        </w:rPr>
                        <w:t>At the time of development, the stormwater DC levied on the Mitre 10 totalled to $86,739. Foodstuffs’ new PAK’nSAVE of similar size</w:t>
                      </w:r>
                      <w:r>
                        <w:rPr>
                          <w:rFonts w:eastAsia="Times New Roman" w:cs="Open Sans"/>
                          <w:lang w:val="en-AU"/>
                        </w:rPr>
                        <w:t>, immediately next door,</w:t>
                      </w:r>
                      <w:r w:rsidRPr="004F0A63">
                        <w:rPr>
                          <w:rFonts w:eastAsia="Times New Roman" w:cs="Open Sans"/>
                          <w:lang w:val="en-AU"/>
                        </w:rPr>
                        <w:t xml:space="preserve"> was then charged $388,971 for its stormwater DC. </w:t>
                      </w:r>
                    </w:p>
                    <w:p w14:paraId="65FFBF27" w14:textId="109F7C03" w:rsidR="005A4AFA" w:rsidRPr="004F0A63" w:rsidRDefault="005A4AFA" w:rsidP="00145479">
                      <w:pPr>
                        <w:rPr>
                          <w:rFonts w:eastAsia="Times New Roman" w:cs="Open Sans"/>
                          <w:lang w:val="en-AU"/>
                        </w:rPr>
                      </w:pPr>
                      <w:r w:rsidRPr="004F0A63">
                        <w:rPr>
                          <w:rFonts w:eastAsia="Times New Roman" w:cs="Open Sans"/>
                          <w:lang w:val="en-AU"/>
                        </w:rPr>
                        <w:t>It should be noted that both sites had similar on-site stormwater systems</w:t>
                      </w:r>
                      <w:r w:rsidR="006A3700">
                        <w:rPr>
                          <w:rFonts w:eastAsia="Times New Roman" w:cs="Open Sans"/>
                          <w:lang w:val="en-AU"/>
                        </w:rPr>
                        <w:t>,</w:t>
                      </w:r>
                      <w:r w:rsidRPr="004F0A63">
                        <w:rPr>
                          <w:rFonts w:eastAsia="Times New Roman" w:cs="Open Sans"/>
                          <w:lang w:val="en-AU"/>
                        </w:rPr>
                        <w:t xml:space="preserve"> and both were connected to the public system upon its completion. </w:t>
                      </w:r>
                    </w:p>
                    <w:p w14:paraId="0EBABDE1" w14:textId="3932A657" w:rsidR="005A4AFA" w:rsidRPr="004F0A63" w:rsidRDefault="005A4AFA" w:rsidP="00145479">
                      <w:pPr>
                        <w:rPr>
                          <w:rFonts w:eastAsia="Times New Roman" w:cs="Open Sans"/>
                          <w:lang w:val="en-AU"/>
                        </w:rPr>
                      </w:pPr>
                      <w:r w:rsidRPr="004F0A63">
                        <w:rPr>
                          <w:rFonts w:eastAsia="Times New Roman" w:cs="Open Sans"/>
                          <w:lang w:val="en-AU"/>
                        </w:rPr>
                        <w:t xml:space="preserve">When Foodstuffs raised the discrepancy between the two sites with QLDC, the response was “the charges were based on a different DC policy”. </w:t>
                      </w:r>
                    </w:p>
                  </w:txbxContent>
                </v:textbox>
                <w10:wrap type="topAndBottom"/>
              </v:shape>
            </w:pict>
          </mc:Fallback>
        </mc:AlternateContent>
      </w:r>
      <w:r w:rsidR="00711F7D">
        <w:t xml:space="preserve">The Queenstown </w:t>
      </w:r>
      <w:proofErr w:type="spellStart"/>
      <w:r w:rsidR="00711F7D">
        <w:t>PAK’nSAVE</w:t>
      </w:r>
      <w:proofErr w:type="spellEnd"/>
      <w:r w:rsidR="00711F7D">
        <w:t xml:space="preserve"> development discussed in Case study 1 not only highlights a number of proportionality issues, but also </w:t>
      </w:r>
      <w:r w:rsidR="007C7AF0">
        <w:t xml:space="preserve">provides an example of the propensity for charges to vary between developments. </w:t>
      </w:r>
    </w:p>
    <w:p w14:paraId="62C686A1" w14:textId="0B79AE07" w:rsidR="00B6092C" w:rsidRDefault="00004B12" w:rsidP="005D4689">
      <w:r>
        <w:t xml:space="preserve">We understand that in Case study 3 above, the two developments were </w:t>
      </w:r>
      <w:r w:rsidR="00EC1F43">
        <w:t xml:space="preserve">assessed under different DC policies, which included different stormwater charges. </w:t>
      </w:r>
      <w:r w:rsidR="00FC13C5">
        <w:t xml:space="preserve">The question however becomes, which stormwater assessment was actually proportionate to the impact that the development had on council infrastructure? </w:t>
      </w:r>
      <w:r w:rsidR="00CC6D47">
        <w:t>Regardless of whether one was completed in 2014</w:t>
      </w:r>
      <w:r w:rsidR="00FC13C5">
        <w:t xml:space="preserve"> </w:t>
      </w:r>
      <w:r w:rsidR="00CC6D47">
        <w:t xml:space="preserve">and the other in 2016, the two sites </w:t>
      </w:r>
      <w:r w:rsidR="001E5812">
        <w:t xml:space="preserve">are of a similar size and nature, and likely have a similar impact on stormwater infrastructure. </w:t>
      </w:r>
      <w:r w:rsidR="00212B4E">
        <w:t xml:space="preserve">The fact that the </w:t>
      </w:r>
      <w:proofErr w:type="spellStart"/>
      <w:r w:rsidR="00212B4E">
        <w:t>PAK’nSAVE</w:t>
      </w:r>
      <w:proofErr w:type="spellEnd"/>
      <w:r w:rsidR="00212B4E">
        <w:t xml:space="preserve"> site was charged a stormwater </w:t>
      </w:r>
      <w:r w:rsidR="002A69D4">
        <w:t xml:space="preserve">charge that was </w:t>
      </w:r>
      <w:r w:rsidR="00212B4E">
        <w:t xml:space="preserve">five times higher than the Mitre 10 </w:t>
      </w:r>
      <w:r w:rsidR="003225B5">
        <w:t>does not appear equitable</w:t>
      </w:r>
      <w:r w:rsidR="00212B4E">
        <w:t xml:space="preserve">, and </w:t>
      </w:r>
      <w:r w:rsidR="003225B5">
        <w:t>were not</w:t>
      </w:r>
      <w:r w:rsidR="00932028">
        <w:t xml:space="preserve"> in line with the </w:t>
      </w:r>
      <w:r w:rsidR="003225B5">
        <w:t>principle</w:t>
      </w:r>
      <w:r w:rsidR="00932028">
        <w:t xml:space="preserve"> of predictability established in </w:t>
      </w:r>
      <w:r w:rsidR="00932028" w:rsidRPr="00932028">
        <w:rPr>
          <w:b/>
          <w:color w:val="183F7C"/>
          <w:lang w:val="en-GB" w:eastAsia="ja-JP"/>
        </w:rPr>
        <w:t>Principle f</w:t>
      </w:r>
      <w:r w:rsidR="00932028">
        <w:t>.</w:t>
      </w:r>
    </w:p>
    <w:p w14:paraId="31812A20" w14:textId="1EB1B2AC" w:rsidR="00D71D8C" w:rsidRPr="005D4689" w:rsidRDefault="00B770B7" w:rsidP="005D4689">
      <w:r>
        <w:t xml:space="preserve">Case </w:t>
      </w:r>
      <w:r w:rsidR="002A69D4">
        <w:t>s</w:t>
      </w:r>
      <w:r>
        <w:t xml:space="preserve">tudy 4 below </w:t>
      </w:r>
      <w:r w:rsidR="003225B5">
        <w:t>details</w:t>
      </w:r>
      <w:r>
        <w:t xml:space="preserve"> </w:t>
      </w:r>
      <w:r w:rsidR="00736EF0">
        <w:t xml:space="preserve">a further </w:t>
      </w:r>
      <w:r>
        <w:t>example where Foodstuffs</w:t>
      </w:r>
      <w:r w:rsidR="00335CE7">
        <w:t xml:space="preserve"> has been</w:t>
      </w:r>
      <w:r w:rsidR="003225B5">
        <w:t xml:space="preserve"> impacted</w:t>
      </w:r>
      <w:r w:rsidR="00335CE7">
        <w:t xml:space="preserve"> on</w:t>
      </w:r>
      <w:r w:rsidR="003225B5">
        <w:t xml:space="preserve"> by</w:t>
      </w:r>
      <w:r w:rsidR="00B5591C">
        <w:t xml:space="preserve"> variability of DC charges. </w:t>
      </w:r>
    </w:p>
    <w:p w14:paraId="70FC2B30" w14:textId="2B369840" w:rsidR="00FD04F0" w:rsidRPr="0068365D" w:rsidRDefault="00081DC4" w:rsidP="00CC16A6">
      <w:pPr>
        <w:rPr>
          <w:lang w:val="en-AU" w:eastAsia="zh-TW"/>
        </w:rPr>
      </w:pPr>
      <w:r w:rsidRPr="00C95CD0">
        <w:rPr>
          <w:b/>
          <w:noProof/>
          <w:lang w:val="en-AU"/>
        </w:rPr>
        <w:lastRenderedPageBreak/>
        <mc:AlternateContent>
          <mc:Choice Requires="wps">
            <w:drawing>
              <wp:inline distT="0" distB="0" distL="0" distR="0" wp14:anchorId="2FEAFF53" wp14:editId="7FD0D5A3">
                <wp:extent cx="5731510" cy="5372100"/>
                <wp:effectExtent l="12700" t="12700" r="8890" b="12700"/>
                <wp:docPr id="20" name="Text Box 20"/>
                <wp:cNvGraphicFramePr/>
                <a:graphic xmlns:a="http://schemas.openxmlformats.org/drawingml/2006/main">
                  <a:graphicData uri="http://schemas.microsoft.com/office/word/2010/wordprocessingShape">
                    <wps:wsp>
                      <wps:cNvSpPr txBox="1"/>
                      <wps:spPr>
                        <a:xfrm>
                          <a:off x="0" y="0"/>
                          <a:ext cx="5731510" cy="5372100"/>
                        </a:xfrm>
                        <a:prstGeom prst="rect">
                          <a:avLst/>
                        </a:prstGeom>
                        <a:solidFill>
                          <a:schemeClr val="bg1"/>
                        </a:solidFill>
                        <a:ln w="19050">
                          <a:solidFill>
                            <a:srgbClr val="85AEDC"/>
                          </a:solidFill>
                        </a:ln>
                      </wps:spPr>
                      <wps:txbx>
                        <w:txbxContent>
                          <w:p w14:paraId="52C8701E" w14:textId="43D39008" w:rsidR="005A4AFA" w:rsidRDefault="005A4AFA" w:rsidP="00145479">
                            <w:pPr>
                              <w:pStyle w:val="Caption"/>
                              <w:ind w:right="59"/>
                              <w:jc w:val="left"/>
                            </w:pPr>
                            <w:bookmarkStart w:id="26" w:name="_Toc533411226"/>
                            <w:r>
                              <w:t xml:space="preserve">Case study </w:t>
                            </w:r>
                            <w:r>
                              <w:rPr>
                                <w:noProof/>
                              </w:rPr>
                              <w:fldChar w:fldCharType="begin"/>
                            </w:r>
                            <w:r>
                              <w:rPr>
                                <w:noProof/>
                              </w:rPr>
                              <w:instrText xml:space="preserve"> SEQ Case_study \* ARABIC </w:instrText>
                            </w:r>
                            <w:r>
                              <w:rPr>
                                <w:noProof/>
                              </w:rPr>
                              <w:fldChar w:fldCharType="separate"/>
                            </w:r>
                            <w:r w:rsidR="0034416C">
                              <w:rPr>
                                <w:noProof/>
                              </w:rPr>
                              <w:t>4</w:t>
                            </w:r>
                            <w:r>
                              <w:rPr>
                                <w:noProof/>
                              </w:rPr>
                              <w:fldChar w:fldCharType="end"/>
                            </w:r>
                            <w:r>
                              <w:t>: Hamilton PAK’nSAVE</w:t>
                            </w:r>
                            <w:bookmarkEnd w:id="26"/>
                          </w:p>
                          <w:p w14:paraId="6E820058" w14:textId="3CDB52A0" w:rsidR="005A4AFA" w:rsidRDefault="005A4AFA" w:rsidP="00145479">
                            <w:pPr>
                              <w:ind w:right="59"/>
                              <w:rPr>
                                <w:rFonts w:eastAsia="Times New Roman" w:cs="Open Sans"/>
                                <w:lang w:val="en-AU"/>
                              </w:rPr>
                            </w:pPr>
                            <w:r w:rsidRPr="006C3F35">
                              <w:rPr>
                                <w:rFonts w:eastAsia="Times New Roman" w:cs="Open Sans"/>
                                <w:lang w:val="en-AU"/>
                              </w:rPr>
                              <w:t>Foodstuffs is currently in the process of developing a new PAK’nSAVE site</w:t>
                            </w:r>
                            <w:r>
                              <w:rPr>
                                <w:rFonts w:eastAsia="Times New Roman" w:cs="Open Sans"/>
                                <w:lang w:val="en-AU"/>
                              </w:rPr>
                              <w:t xml:space="preserve"> in Hamilton</w:t>
                            </w:r>
                            <w:r w:rsidRPr="006C3F35">
                              <w:rPr>
                                <w:rFonts w:eastAsia="Times New Roman" w:cs="Open Sans"/>
                                <w:lang w:val="en-AU"/>
                              </w:rPr>
                              <w:t>.</w:t>
                            </w:r>
                            <w:r>
                              <w:rPr>
                                <w:rFonts w:eastAsia="Times New Roman" w:cs="Open Sans"/>
                                <w:lang w:val="en-AU"/>
                              </w:rPr>
                              <w:t xml:space="preserve"> It is a brownfield development, whereby the supermarket will replace multiple </w:t>
                            </w:r>
                            <w:r w:rsidR="005A0E9F">
                              <w:rPr>
                                <w:rFonts w:eastAsia="Times New Roman" w:cs="Open Sans"/>
                                <w:lang w:val="en-AU"/>
                              </w:rPr>
                              <w:t>industrial tenancies</w:t>
                            </w:r>
                            <w:r>
                              <w:rPr>
                                <w:rFonts w:eastAsia="Times New Roman" w:cs="Open Sans"/>
                                <w:lang w:val="en-AU"/>
                              </w:rPr>
                              <w:t xml:space="preserve">. </w:t>
                            </w:r>
                          </w:p>
                          <w:p w14:paraId="0C541AD2" w14:textId="6C28E452" w:rsidR="005A4AFA" w:rsidRDefault="005A4AFA" w:rsidP="00145479">
                            <w:pPr>
                              <w:ind w:right="59"/>
                              <w:rPr>
                                <w:lang w:val="en-GB" w:eastAsia="zh-TW"/>
                              </w:rPr>
                            </w:pPr>
                            <w:r>
                              <w:rPr>
                                <w:lang w:val="en-GB" w:eastAsia="zh-TW"/>
                              </w:rPr>
                              <w:t xml:space="preserve">Foodstuffs requested a DC estimate from the Council on June </w:t>
                            </w:r>
                            <w:proofErr w:type="gramStart"/>
                            <w:r>
                              <w:rPr>
                                <w:lang w:val="en-GB" w:eastAsia="zh-TW"/>
                              </w:rPr>
                              <w:t>12</w:t>
                            </w:r>
                            <w:proofErr w:type="gramEnd"/>
                            <w:r>
                              <w:rPr>
                                <w:lang w:val="en-GB" w:eastAsia="zh-TW"/>
                              </w:rPr>
                              <w:t xml:space="preserve"> 2018. Foodstuffs was aware that if the development consent was formally lodged and accepted by the Council prior to June </w:t>
                            </w:r>
                            <w:proofErr w:type="gramStart"/>
                            <w:r>
                              <w:rPr>
                                <w:lang w:val="en-GB" w:eastAsia="zh-TW"/>
                              </w:rPr>
                              <w:t>30</w:t>
                            </w:r>
                            <w:proofErr w:type="gramEnd"/>
                            <w:r>
                              <w:rPr>
                                <w:lang w:val="en-GB" w:eastAsia="zh-TW"/>
                              </w:rPr>
                              <w:t xml:space="preserve"> 2018, it would be assessed under the 2017/18 DC policy. If the Council accepted the consent lodged from July </w:t>
                            </w:r>
                            <w:proofErr w:type="gramStart"/>
                            <w:r>
                              <w:rPr>
                                <w:lang w:val="en-GB" w:eastAsia="zh-TW"/>
                              </w:rPr>
                              <w:t>1</w:t>
                            </w:r>
                            <w:proofErr w:type="gramEnd"/>
                            <w:r>
                              <w:rPr>
                                <w:lang w:val="en-GB" w:eastAsia="zh-TW"/>
                              </w:rPr>
                              <w:t xml:space="preserve"> 2018 on the other hand, it would be assessed under the new 2018/19 DC Policy. It is worth noting that at this point, the final 2018/19 DC final policy was yet to be released, however the Draft DC policy was publicly available. </w:t>
                            </w:r>
                          </w:p>
                          <w:p w14:paraId="11959EAB" w14:textId="77E13CD3" w:rsidR="005A4AFA" w:rsidRDefault="005A4AFA" w:rsidP="00145479">
                            <w:pPr>
                              <w:ind w:right="59"/>
                              <w:rPr>
                                <w:lang w:val="en-GB" w:eastAsia="zh-TW"/>
                              </w:rPr>
                            </w:pPr>
                            <w:r>
                              <w:rPr>
                                <w:lang w:val="en-GB" w:eastAsia="zh-TW"/>
                              </w:rPr>
                              <w:t xml:space="preserve">Foodstuffs sent the Council details on the floor area of the development, receiving a DC quote on June </w:t>
                            </w:r>
                            <w:proofErr w:type="gramStart"/>
                            <w:r>
                              <w:rPr>
                                <w:lang w:val="en-GB" w:eastAsia="zh-TW"/>
                              </w:rPr>
                              <w:t>13</w:t>
                            </w:r>
                            <w:proofErr w:type="gramEnd"/>
                            <w:r>
                              <w:rPr>
                                <w:lang w:val="en-GB" w:eastAsia="zh-TW"/>
                              </w:rPr>
                              <w:t xml:space="preserve"> 2018. The council noted that the final 2018/19 policy was still under consultation, and that the estimate was based on the pre-consultation rates in the 2018/19 draft policy and therefore subject to change.</w:t>
                            </w:r>
                          </w:p>
                          <w:p w14:paraId="33F4B853" w14:textId="77777777" w:rsidR="005A4AFA" w:rsidRDefault="005A4AFA" w:rsidP="00145479">
                            <w:pPr>
                              <w:ind w:right="59"/>
                              <w:rPr>
                                <w:lang w:val="en-GB" w:eastAsia="zh-TW"/>
                              </w:rPr>
                            </w:pPr>
                            <w:r>
                              <w:rPr>
                                <w:lang w:val="en-GB" w:eastAsia="zh-TW"/>
                              </w:rPr>
                              <w:t>The quote assessed the following:</w:t>
                            </w:r>
                          </w:p>
                          <w:p w14:paraId="4E501674" w14:textId="77777777" w:rsidR="005A4AFA" w:rsidRPr="0068365D" w:rsidRDefault="005A4AFA" w:rsidP="00145479">
                            <w:pPr>
                              <w:pStyle w:val="ListParagraph"/>
                              <w:numPr>
                                <w:ilvl w:val="0"/>
                                <w:numId w:val="20"/>
                              </w:numPr>
                              <w:spacing w:line="276" w:lineRule="auto"/>
                              <w:ind w:left="0" w:right="59"/>
                              <w:rPr>
                                <w:lang w:val="en-GB" w:eastAsia="zh-TW"/>
                              </w:rPr>
                            </w:pPr>
                            <w:r w:rsidRPr="0068365D">
                              <w:rPr>
                                <w:lang w:val="en-GB" w:eastAsia="zh-TW"/>
                              </w:rPr>
                              <w:t>DC charges under the 2017/18 policy were estimated at aro</w:t>
                            </w:r>
                            <w:r>
                              <w:rPr>
                                <w:lang w:val="en-GB" w:eastAsia="zh-TW"/>
                              </w:rPr>
                              <w:t>und $298,853.51 (excl.</w:t>
                            </w:r>
                            <w:r w:rsidRPr="0068365D">
                              <w:rPr>
                                <w:lang w:val="en-GB" w:eastAsia="zh-TW"/>
                              </w:rPr>
                              <w:t xml:space="preserve"> GST); and</w:t>
                            </w:r>
                          </w:p>
                          <w:p w14:paraId="717A32DC" w14:textId="77777777" w:rsidR="005A4AFA" w:rsidRPr="0068365D" w:rsidRDefault="005A4AFA" w:rsidP="00145479">
                            <w:pPr>
                              <w:pStyle w:val="ListParagraph"/>
                              <w:numPr>
                                <w:ilvl w:val="0"/>
                                <w:numId w:val="20"/>
                              </w:numPr>
                              <w:spacing w:after="320" w:line="276" w:lineRule="auto"/>
                              <w:ind w:left="0" w:right="59" w:hanging="357"/>
                              <w:rPr>
                                <w:lang w:val="en-GB" w:eastAsia="zh-TW"/>
                              </w:rPr>
                            </w:pPr>
                            <w:r w:rsidRPr="0068365D">
                              <w:rPr>
                                <w:lang w:val="en-GB" w:eastAsia="zh-TW"/>
                              </w:rPr>
                              <w:t>DC charges under the 2018/19 pre-consultation draft policy were estimated at $921,775.65 (exc</w:t>
                            </w:r>
                            <w:r>
                              <w:rPr>
                                <w:lang w:val="en-GB" w:eastAsia="zh-TW"/>
                              </w:rPr>
                              <w:t>l.</w:t>
                            </w:r>
                            <w:r w:rsidRPr="0068365D">
                              <w:rPr>
                                <w:lang w:val="en-GB" w:eastAsia="zh-TW"/>
                              </w:rPr>
                              <w:t xml:space="preserve"> GST).</w:t>
                            </w:r>
                          </w:p>
                          <w:p w14:paraId="77FE1023" w14:textId="77777777" w:rsidR="005A4AFA" w:rsidRDefault="005A4AFA" w:rsidP="00145479">
                            <w:pPr>
                              <w:spacing w:after="320"/>
                              <w:ind w:right="59"/>
                              <w:rPr>
                                <w:lang w:val="en-GB" w:eastAsia="zh-TW"/>
                              </w:rPr>
                            </w:pPr>
                            <w:r>
                              <w:rPr>
                                <w:lang w:val="en-GB" w:eastAsia="zh-TW"/>
                              </w:rPr>
                              <w:t>The consent was accepted by the Council shortly after the 1</w:t>
                            </w:r>
                            <w:r w:rsidRPr="00AF7782">
                              <w:rPr>
                                <w:vertAlign w:val="superscript"/>
                                <w:lang w:val="en-GB" w:eastAsia="zh-TW"/>
                              </w:rPr>
                              <w:t>st</w:t>
                            </w:r>
                            <w:r>
                              <w:rPr>
                                <w:lang w:val="en-GB" w:eastAsia="zh-TW"/>
                              </w:rPr>
                              <w:t xml:space="preserve"> of July 2018. While the charges are yet to be confirmed, at the 2018/19 pre-consultation rate, Foodstuffs would be looking at a DC charge of $921,775.65, an amount over 300 percent higher than would have been applied under the previous year.</w:t>
                            </w:r>
                          </w:p>
                          <w:p w14:paraId="68BE1668" w14:textId="77777777" w:rsidR="005A4AFA" w:rsidRPr="00B01DA2" w:rsidRDefault="005A4AFA" w:rsidP="00081DC4">
                            <w:pPr>
                              <w:spacing w:after="320"/>
                              <w:rPr>
                                <w:rFonts w:eastAsia="Times New Roman" w:cs="Open Sans"/>
                                <w:sz w:val="18"/>
                                <w:szCs w:val="18"/>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EAFF53" id="Text Box 20" o:spid="_x0000_s1033" type="#_x0000_t202" style="width:451.3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" fillcolor="white [3212]" strokecolor="#85aedc" strokeweight="1.5pt">
                <v:textbox>
                  <w:txbxContent>
                    <w:p w14:paraId="52C8701E" w14:textId="43D39008" w:rsidR="005A4AFA" w:rsidRDefault="005A4AFA" w:rsidP="00145479">
                      <w:pPr>
                        <w:pStyle w:val="Caption"/>
                        <w:ind w:right="59"/>
                        <w:jc w:val="left"/>
                      </w:pPr>
                      <w:bookmarkStart w:id="27" w:name="_Toc533411226"/>
                      <w:r>
                        <w:t xml:space="preserve">Case study </w:t>
                      </w:r>
                      <w:r>
                        <w:rPr>
                          <w:noProof/>
                        </w:rPr>
                        <w:fldChar w:fldCharType="begin"/>
                      </w:r>
                      <w:r>
                        <w:rPr>
                          <w:noProof/>
                        </w:rPr>
                        <w:instrText xml:space="preserve"> SEQ Case_study \* ARABIC </w:instrText>
                      </w:r>
                      <w:r>
                        <w:rPr>
                          <w:noProof/>
                        </w:rPr>
                        <w:fldChar w:fldCharType="separate"/>
                      </w:r>
                      <w:r w:rsidR="0034416C">
                        <w:rPr>
                          <w:noProof/>
                        </w:rPr>
                        <w:t>4</w:t>
                      </w:r>
                      <w:r>
                        <w:rPr>
                          <w:noProof/>
                        </w:rPr>
                        <w:fldChar w:fldCharType="end"/>
                      </w:r>
                      <w:r>
                        <w:t>: Hamilton PAK’nSAVE</w:t>
                      </w:r>
                      <w:bookmarkEnd w:id="27"/>
                    </w:p>
                    <w:p w14:paraId="6E820058" w14:textId="3CDB52A0" w:rsidR="005A4AFA" w:rsidRDefault="005A4AFA" w:rsidP="00145479">
                      <w:pPr>
                        <w:ind w:right="59"/>
                        <w:rPr>
                          <w:rFonts w:eastAsia="Times New Roman" w:cs="Open Sans"/>
                          <w:lang w:val="en-AU"/>
                        </w:rPr>
                      </w:pPr>
                      <w:r w:rsidRPr="006C3F35">
                        <w:rPr>
                          <w:rFonts w:eastAsia="Times New Roman" w:cs="Open Sans"/>
                          <w:lang w:val="en-AU"/>
                        </w:rPr>
                        <w:t>Foodstuffs is currently in the process of developing a new PAK’nSAVE site</w:t>
                      </w:r>
                      <w:r>
                        <w:rPr>
                          <w:rFonts w:eastAsia="Times New Roman" w:cs="Open Sans"/>
                          <w:lang w:val="en-AU"/>
                        </w:rPr>
                        <w:t xml:space="preserve"> in Hamilton</w:t>
                      </w:r>
                      <w:r w:rsidRPr="006C3F35">
                        <w:rPr>
                          <w:rFonts w:eastAsia="Times New Roman" w:cs="Open Sans"/>
                          <w:lang w:val="en-AU"/>
                        </w:rPr>
                        <w:t>.</w:t>
                      </w:r>
                      <w:r>
                        <w:rPr>
                          <w:rFonts w:eastAsia="Times New Roman" w:cs="Open Sans"/>
                          <w:lang w:val="en-AU"/>
                        </w:rPr>
                        <w:t xml:space="preserve"> It is a brownfield development, whereby the supermarket will replace multiple </w:t>
                      </w:r>
                      <w:r w:rsidR="005A0E9F">
                        <w:rPr>
                          <w:rFonts w:eastAsia="Times New Roman" w:cs="Open Sans"/>
                          <w:lang w:val="en-AU"/>
                        </w:rPr>
                        <w:t>industrial tenancies</w:t>
                      </w:r>
                      <w:r>
                        <w:rPr>
                          <w:rFonts w:eastAsia="Times New Roman" w:cs="Open Sans"/>
                          <w:lang w:val="en-AU"/>
                        </w:rPr>
                        <w:t xml:space="preserve">. </w:t>
                      </w:r>
                    </w:p>
                    <w:p w14:paraId="0C541AD2" w14:textId="6C28E452" w:rsidR="005A4AFA" w:rsidRDefault="005A4AFA" w:rsidP="00145479">
                      <w:pPr>
                        <w:ind w:right="59"/>
                        <w:rPr>
                          <w:lang w:val="en-GB" w:eastAsia="zh-TW"/>
                        </w:rPr>
                      </w:pPr>
                      <w:r>
                        <w:rPr>
                          <w:lang w:val="en-GB" w:eastAsia="zh-TW"/>
                        </w:rPr>
                        <w:t xml:space="preserve">Foodstuffs requested a DC estimate from the Council on June </w:t>
                      </w:r>
                      <w:proofErr w:type="gramStart"/>
                      <w:r>
                        <w:rPr>
                          <w:lang w:val="en-GB" w:eastAsia="zh-TW"/>
                        </w:rPr>
                        <w:t>12</w:t>
                      </w:r>
                      <w:proofErr w:type="gramEnd"/>
                      <w:r>
                        <w:rPr>
                          <w:lang w:val="en-GB" w:eastAsia="zh-TW"/>
                        </w:rPr>
                        <w:t xml:space="preserve"> 2018. Foodstuffs was aware that if the development consent was formally lodged and accepted by the Council prior to June </w:t>
                      </w:r>
                      <w:proofErr w:type="gramStart"/>
                      <w:r>
                        <w:rPr>
                          <w:lang w:val="en-GB" w:eastAsia="zh-TW"/>
                        </w:rPr>
                        <w:t>30</w:t>
                      </w:r>
                      <w:proofErr w:type="gramEnd"/>
                      <w:r>
                        <w:rPr>
                          <w:lang w:val="en-GB" w:eastAsia="zh-TW"/>
                        </w:rPr>
                        <w:t xml:space="preserve"> 2018, it would be assessed under the 2017/18 DC policy. If the Council accepted the consent lodged from July </w:t>
                      </w:r>
                      <w:proofErr w:type="gramStart"/>
                      <w:r>
                        <w:rPr>
                          <w:lang w:val="en-GB" w:eastAsia="zh-TW"/>
                        </w:rPr>
                        <w:t>1</w:t>
                      </w:r>
                      <w:proofErr w:type="gramEnd"/>
                      <w:r>
                        <w:rPr>
                          <w:lang w:val="en-GB" w:eastAsia="zh-TW"/>
                        </w:rPr>
                        <w:t xml:space="preserve"> 2018 on the other hand, it would be assessed under the new 2018/19 DC Policy. It is worth noting that at this point, the final 2018/19 DC final policy was yet to be released, however the Draft DC policy was publicly available. </w:t>
                      </w:r>
                    </w:p>
                    <w:p w14:paraId="11959EAB" w14:textId="77E13CD3" w:rsidR="005A4AFA" w:rsidRDefault="005A4AFA" w:rsidP="00145479">
                      <w:pPr>
                        <w:ind w:right="59"/>
                        <w:rPr>
                          <w:lang w:val="en-GB" w:eastAsia="zh-TW"/>
                        </w:rPr>
                      </w:pPr>
                      <w:r>
                        <w:rPr>
                          <w:lang w:val="en-GB" w:eastAsia="zh-TW"/>
                        </w:rPr>
                        <w:t xml:space="preserve">Foodstuffs sent the Council details on the floor area of the development, receiving a DC quote on June </w:t>
                      </w:r>
                      <w:proofErr w:type="gramStart"/>
                      <w:r>
                        <w:rPr>
                          <w:lang w:val="en-GB" w:eastAsia="zh-TW"/>
                        </w:rPr>
                        <w:t>13</w:t>
                      </w:r>
                      <w:proofErr w:type="gramEnd"/>
                      <w:r>
                        <w:rPr>
                          <w:lang w:val="en-GB" w:eastAsia="zh-TW"/>
                        </w:rPr>
                        <w:t xml:space="preserve"> 2018. The council noted that the final 2018/19 policy was still under consultation, and that the estimate was based on the pre-consultation rates in the 2018/19 draft policy and therefore subject to change.</w:t>
                      </w:r>
                    </w:p>
                    <w:p w14:paraId="33F4B853" w14:textId="77777777" w:rsidR="005A4AFA" w:rsidRDefault="005A4AFA" w:rsidP="00145479">
                      <w:pPr>
                        <w:ind w:right="59"/>
                        <w:rPr>
                          <w:lang w:val="en-GB" w:eastAsia="zh-TW"/>
                        </w:rPr>
                      </w:pPr>
                      <w:r>
                        <w:rPr>
                          <w:lang w:val="en-GB" w:eastAsia="zh-TW"/>
                        </w:rPr>
                        <w:t>The quote assessed the following:</w:t>
                      </w:r>
                    </w:p>
                    <w:p w14:paraId="4E501674" w14:textId="77777777" w:rsidR="005A4AFA" w:rsidRPr="0068365D" w:rsidRDefault="005A4AFA" w:rsidP="00145479">
                      <w:pPr>
                        <w:pStyle w:val="ListParagraph"/>
                        <w:numPr>
                          <w:ilvl w:val="0"/>
                          <w:numId w:val="20"/>
                        </w:numPr>
                        <w:spacing w:line="276" w:lineRule="auto"/>
                        <w:ind w:left="0" w:right="59"/>
                        <w:rPr>
                          <w:lang w:val="en-GB" w:eastAsia="zh-TW"/>
                        </w:rPr>
                      </w:pPr>
                      <w:r w:rsidRPr="0068365D">
                        <w:rPr>
                          <w:lang w:val="en-GB" w:eastAsia="zh-TW"/>
                        </w:rPr>
                        <w:t>DC charges under the 2017/18 policy were estimated at aro</w:t>
                      </w:r>
                      <w:r>
                        <w:rPr>
                          <w:lang w:val="en-GB" w:eastAsia="zh-TW"/>
                        </w:rPr>
                        <w:t>und $298,853.51 (excl.</w:t>
                      </w:r>
                      <w:r w:rsidRPr="0068365D">
                        <w:rPr>
                          <w:lang w:val="en-GB" w:eastAsia="zh-TW"/>
                        </w:rPr>
                        <w:t xml:space="preserve"> GST); and</w:t>
                      </w:r>
                    </w:p>
                    <w:p w14:paraId="717A32DC" w14:textId="77777777" w:rsidR="005A4AFA" w:rsidRPr="0068365D" w:rsidRDefault="005A4AFA" w:rsidP="00145479">
                      <w:pPr>
                        <w:pStyle w:val="ListParagraph"/>
                        <w:numPr>
                          <w:ilvl w:val="0"/>
                          <w:numId w:val="20"/>
                        </w:numPr>
                        <w:spacing w:after="320" w:line="276" w:lineRule="auto"/>
                        <w:ind w:left="0" w:right="59" w:hanging="357"/>
                        <w:rPr>
                          <w:lang w:val="en-GB" w:eastAsia="zh-TW"/>
                        </w:rPr>
                      </w:pPr>
                      <w:r w:rsidRPr="0068365D">
                        <w:rPr>
                          <w:lang w:val="en-GB" w:eastAsia="zh-TW"/>
                        </w:rPr>
                        <w:t>DC charges under the 2018/19 pre-consultation draft policy were estimated at $921,775.65 (exc</w:t>
                      </w:r>
                      <w:r>
                        <w:rPr>
                          <w:lang w:val="en-GB" w:eastAsia="zh-TW"/>
                        </w:rPr>
                        <w:t>l.</w:t>
                      </w:r>
                      <w:r w:rsidRPr="0068365D">
                        <w:rPr>
                          <w:lang w:val="en-GB" w:eastAsia="zh-TW"/>
                        </w:rPr>
                        <w:t xml:space="preserve"> GST).</w:t>
                      </w:r>
                    </w:p>
                    <w:p w14:paraId="77FE1023" w14:textId="77777777" w:rsidR="005A4AFA" w:rsidRDefault="005A4AFA" w:rsidP="00145479">
                      <w:pPr>
                        <w:spacing w:after="320"/>
                        <w:ind w:right="59"/>
                        <w:rPr>
                          <w:lang w:val="en-GB" w:eastAsia="zh-TW"/>
                        </w:rPr>
                      </w:pPr>
                      <w:r>
                        <w:rPr>
                          <w:lang w:val="en-GB" w:eastAsia="zh-TW"/>
                        </w:rPr>
                        <w:t>The consent was accepted by the Council shortly after the 1</w:t>
                      </w:r>
                      <w:r w:rsidRPr="00AF7782">
                        <w:rPr>
                          <w:vertAlign w:val="superscript"/>
                          <w:lang w:val="en-GB" w:eastAsia="zh-TW"/>
                        </w:rPr>
                        <w:t>st</w:t>
                      </w:r>
                      <w:r>
                        <w:rPr>
                          <w:lang w:val="en-GB" w:eastAsia="zh-TW"/>
                        </w:rPr>
                        <w:t xml:space="preserve"> of July 2018. While the charges are yet to be confirmed, at the 2018/19 pre-consultation rate, Foodstuffs would be looking at a DC charge of $921,775.65, an amount over 300 percent higher than would have been applied under the previous year.</w:t>
                      </w:r>
                    </w:p>
                    <w:p w14:paraId="68BE1668" w14:textId="77777777" w:rsidR="005A4AFA" w:rsidRPr="00B01DA2" w:rsidRDefault="005A4AFA" w:rsidP="00081DC4">
                      <w:pPr>
                        <w:spacing w:after="320"/>
                        <w:rPr>
                          <w:rFonts w:eastAsia="Times New Roman" w:cs="Open Sans"/>
                          <w:sz w:val="18"/>
                          <w:szCs w:val="18"/>
                          <w:lang w:val="en-AU"/>
                        </w:rPr>
                      </w:pPr>
                    </w:p>
                  </w:txbxContent>
                </v:textbox>
                <w10:anchorlock/>
              </v:shape>
            </w:pict>
          </mc:Fallback>
        </mc:AlternateContent>
      </w:r>
    </w:p>
    <w:p w14:paraId="14CA9DD7" w14:textId="74B4865A" w:rsidR="007653C3" w:rsidRDefault="00975690">
      <w:pPr>
        <w:rPr>
          <w:lang w:val="en-GB" w:eastAsia="zh-TW"/>
        </w:rPr>
      </w:pPr>
      <w:r>
        <w:rPr>
          <w:lang w:val="en-GB" w:eastAsia="zh-TW"/>
        </w:rPr>
        <w:t>As is the case with Case study 3, the inconsistency between t</w:t>
      </w:r>
      <w:r w:rsidR="00E748FC">
        <w:rPr>
          <w:lang w:val="en-GB" w:eastAsia="zh-TW"/>
        </w:rPr>
        <w:t>hese two DC as</w:t>
      </w:r>
      <w:r w:rsidR="00DF118A">
        <w:rPr>
          <w:lang w:val="en-GB" w:eastAsia="zh-TW"/>
        </w:rPr>
        <w:t>sessments</w:t>
      </w:r>
      <w:r w:rsidR="00D839A8">
        <w:rPr>
          <w:lang w:val="en-GB" w:eastAsia="zh-TW"/>
        </w:rPr>
        <w:t xml:space="preserve"> in Case </w:t>
      </w:r>
      <w:r w:rsidR="002A69D4">
        <w:rPr>
          <w:lang w:val="en-GB" w:eastAsia="zh-TW"/>
        </w:rPr>
        <w:t>s</w:t>
      </w:r>
      <w:r w:rsidR="00D839A8">
        <w:rPr>
          <w:lang w:val="en-GB" w:eastAsia="zh-TW"/>
        </w:rPr>
        <w:t>tudy 4</w:t>
      </w:r>
      <w:r w:rsidR="00DF118A">
        <w:rPr>
          <w:lang w:val="en-GB" w:eastAsia="zh-TW"/>
        </w:rPr>
        <w:t xml:space="preserve"> undermines the legitimacy of the DC system. </w:t>
      </w:r>
      <w:r w:rsidR="000A4D01">
        <w:rPr>
          <w:lang w:val="en-GB" w:eastAsia="zh-TW"/>
        </w:rPr>
        <w:t xml:space="preserve">If charges are proportionate and based on the causal nexus </w:t>
      </w:r>
      <w:r w:rsidR="00425191">
        <w:rPr>
          <w:lang w:val="en-GB" w:eastAsia="zh-TW"/>
        </w:rPr>
        <w:t xml:space="preserve">approach </w:t>
      </w:r>
      <w:r w:rsidR="000A4D01">
        <w:rPr>
          <w:lang w:val="en-GB" w:eastAsia="zh-TW"/>
        </w:rPr>
        <w:t xml:space="preserve">that </w:t>
      </w:r>
      <w:r w:rsidR="000A4D01" w:rsidRPr="000A4D01">
        <w:rPr>
          <w:b/>
          <w:color w:val="183F7C"/>
          <w:lang w:val="en-GB" w:eastAsia="ja-JP"/>
        </w:rPr>
        <w:t>Principle a</w:t>
      </w:r>
      <w:r w:rsidR="000A4D01">
        <w:rPr>
          <w:b/>
          <w:color w:val="183F7C"/>
          <w:lang w:val="en-GB" w:eastAsia="ja-JP"/>
        </w:rPr>
        <w:t xml:space="preserve"> </w:t>
      </w:r>
      <w:r w:rsidR="00D839A8">
        <w:rPr>
          <w:lang w:val="en-GB" w:eastAsia="zh-TW"/>
        </w:rPr>
        <w:t>establishes,</w:t>
      </w:r>
      <w:r w:rsidR="00E23411">
        <w:rPr>
          <w:lang w:val="en-GB" w:eastAsia="zh-TW"/>
        </w:rPr>
        <w:t xml:space="preserve"> this level of inconsistency </w:t>
      </w:r>
      <w:r w:rsidR="00995559">
        <w:rPr>
          <w:lang w:val="en-GB" w:eastAsia="zh-TW"/>
        </w:rPr>
        <w:t xml:space="preserve">in charges </w:t>
      </w:r>
      <w:r w:rsidR="00E23411">
        <w:rPr>
          <w:lang w:val="en-GB" w:eastAsia="zh-TW"/>
        </w:rPr>
        <w:t xml:space="preserve">would not occur. </w:t>
      </w:r>
    </w:p>
    <w:p w14:paraId="26709B8F" w14:textId="77CC0B68" w:rsidR="00B32FD5" w:rsidRDefault="00736EF0">
      <w:pPr>
        <w:rPr>
          <w:lang w:val="en-GB" w:eastAsia="zh-TW"/>
        </w:rPr>
      </w:pPr>
      <w:r>
        <w:rPr>
          <w:lang w:val="en-GB" w:eastAsia="zh-TW"/>
        </w:rPr>
        <w:t>Case study 5 belo</w:t>
      </w:r>
      <w:r w:rsidR="00B32FD5">
        <w:rPr>
          <w:lang w:val="en-GB" w:eastAsia="zh-TW"/>
        </w:rPr>
        <w:t>w</w:t>
      </w:r>
      <w:r w:rsidR="003C38F7">
        <w:rPr>
          <w:lang w:val="en-GB" w:eastAsia="zh-TW"/>
        </w:rPr>
        <w:t xml:space="preserve"> provides an example of further variation in DC charges. </w:t>
      </w:r>
      <w:r w:rsidR="00E12D1A">
        <w:rPr>
          <w:lang w:val="en-GB" w:eastAsia="zh-TW"/>
        </w:rPr>
        <w:t xml:space="preserve">In this case, the variation occurs in specific DC charges set by Auckland Council between </w:t>
      </w:r>
      <w:r w:rsidR="00A5663C">
        <w:rPr>
          <w:lang w:val="en-GB" w:eastAsia="zh-TW"/>
        </w:rPr>
        <w:t xml:space="preserve">two policy years. </w:t>
      </w:r>
      <w:r w:rsidR="00E12D1A">
        <w:rPr>
          <w:lang w:val="en-GB" w:eastAsia="zh-TW"/>
        </w:rPr>
        <w:t xml:space="preserve"> </w:t>
      </w:r>
    </w:p>
    <w:tbl>
      <w:tblPr>
        <w:tblStyle w:val="TableGrid"/>
        <w:tblW w:w="0" w:type="auto"/>
        <w:tblLook w:val="04A0" w:firstRow="1" w:lastRow="0" w:firstColumn="1" w:lastColumn="0" w:noHBand="0" w:noVBand="1"/>
      </w:tblPr>
      <w:tblGrid>
        <w:gridCol w:w="8995"/>
      </w:tblGrid>
      <w:tr w:rsidR="00B32FD5" w14:paraId="6E4A7225" w14:textId="77777777" w:rsidTr="00A5663C">
        <w:trPr>
          <w:trHeight w:val="1657"/>
        </w:trPr>
        <w:tc>
          <w:tcPr>
            <w:tcW w:w="8952" w:type="dxa"/>
            <w:tcBorders>
              <w:top w:val="single" w:sz="12" w:space="0" w:color="85AEDC"/>
              <w:left w:val="single" w:sz="12" w:space="0" w:color="85AEDC"/>
              <w:bottom w:val="single" w:sz="12" w:space="0" w:color="85AEDC"/>
              <w:right w:val="single" w:sz="12" w:space="0" w:color="85AEDC"/>
            </w:tcBorders>
          </w:tcPr>
          <w:p w14:paraId="389CDC48" w14:textId="37F1B28F" w:rsidR="00B32FD5" w:rsidRPr="00B32FD5" w:rsidRDefault="00B32FD5" w:rsidP="00A5663C">
            <w:pPr>
              <w:pStyle w:val="Caption"/>
              <w:spacing w:before="120" w:after="160" w:line="276" w:lineRule="auto"/>
              <w:ind w:left="23" w:right="210"/>
              <w:jc w:val="left"/>
            </w:pPr>
            <w:bookmarkStart w:id="28" w:name="_Toc533411227"/>
            <w:r>
              <w:t xml:space="preserve">Case study </w:t>
            </w:r>
            <w:r>
              <w:rPr>
                <w:noProof/>
              </w:rPr>
              <w:fldChar w:fldCharType="begin"/>
            </w:r>
            <w:r>
              <w:rPr>
                <w:noProof/>
              </w:rPr>
              <w:instrText xml:space="preserve"> SEQ Case_study \* ARABIC </w:instrText>
            </w:r>
            <w:r>
              <w:rPr>
                <w:noProof/>
              </w:rPr>
              <w:fldChar w:fldCharType="separate"/>
            </w:r>
            <w:r w:rsidR="0034416C">
              <w:rPr>
                <w:noProof/>
              </w:rPr>
              <w:t>5</w:t>
            </w:r>
            <w:r>
              <w:rPr>
                <w:noProof/>
              </w:rPr>
              <w:fldChar w:fldCharType="end"/>
            </w:r>
            <w:r>
              <w:t>: Auckland Council</w:t>
            </w:r>
            <w:r w:rsidR="008F106E">
              <w:t>’s</w:t>
            </w:r>
            <w:r>
              <w:t xml:space="preserve"> draft DC Policy update</w:t>
            </w:r>
            <w:bookmarkEnd w:id="28"/>
          </w:p>
          <w:p w14:paraId="350F86FD" w14:textId="47035586" w:rsidR="00B32FD5" w:rsidRPr="00A5663C" w:rsidRDefault="00B32FD5" w:rsidP="00A5663C">
            <w:pPr>
              <w:spacing w:after="200" w:line="276" w:lineRule="auto"/>
              <w:ind w:left="24" w:right="111"/>
              <w:rPr>
                <w:rFonts w:cs="Open Sans"/>
                <w:lang w:val="en-AU" w:eastAsia="en-US"/>
              </w:rPr>
            </w:pPr>
            <w:r w:rsidRPr="00A5663C">
              <w:rPr>
                <w:rFonts w:cs="Open Sans"/>
                <w:lang w:val="en-AU" w:eastAsia="en-US"/>
              </w:rPr>
              <w:t xml:space="preserve">In early 2018 the Auckland Council released </w:t>
            </w:r>
            <w:r w:rsidR="00E473B2">
              <w:rPr>
                <w:rFonts w:cs="Open Sans"/>
                <w:lang w:val="en-AU" w:eastAsia="en-US"/>
              </w:rPr>
              <w:t>the</w:t>
            </w:r>
            <w:r w:rsidRPr="00A5663C">
              <w:rPr>
                <w:rFonts w:cs="Open Sans"/>
                <w:lang w:val="en-AU" w:eastAsia="en-US"/>
              </w:rPr>
              <w:t xml:space="preserve"> draft DC policy 2018. The draft policy imposed DCs on retail developments that were largely consistent with the Council’s previous approach. </w:t>
            </w:r>
          </w:p>
          <w:p w14:paraId="1FA28123" w14:textId="6C3F28B4" w:rsidR="00B32FD5" w:rsidRPr="00A5663C" w:rsidRDefault="00B32FD5" w:rsidP="00A5663C">
            <w:pPr>
              <w:spacing w:after="200" w:line="276" w:lineRule="auto"/>
              <w:ind w:left="24" w:right="111"/>
              <w:rPr>
                <w:rFonts w:cs="Open Sans"/>
                <w:lang w:val="en-AU" w:eastAsia="en-US"/>
              </w:rPr>
            </w:pPr>
            <w:r w:rsidRPr="00A5663C">
              <w:rPr>
                <w:rFonts w:cs="Open Sans"/>
                <w:lang w:val="en-AU" w:eastAsia="en-US"/>
              </w:rPr>
              <w:t>In October 2018 the Council released a revised draft DC policy, the</w:t>
            </w:r>
            <w:r w:rsidR="00B10475">
              <w:rPr>
                <w:rFonts w:cs="Open Sans"/>
                <w:lang w:val="en-AU" w:eastAsia="en-US"/>
              </w:rPr>
              <w:t xml:space="preserve"> </w:t>
            </w:r>
            <w:bookmarkStart w:id="29" w:name="_Hlk530995017"/>
            <w:r w:rsidR="00B10475">
              <w:rPr>
                <w:rFonts w:cs="Open Sans"/>
                <w:lang w:val="en-AU" w:eastAsia="en-US"/>
              </w:rPr>
              <w:t>draft</w:t>
            </w:r>
            <w:r w:rsidRPr="00A5663C">
              <w:rPr>
                <w:rFonts w:cs="Open Sans"/>
                <w:lang w:val="en-AU" w:eastAsia="en-US"/>
              </w:rPr>
              <w:t xml:space="preserve"> DC policy 2019</w:t>
            </w:r>
            <w:bookmarkEnd w:id="29"/>
            <w:r w:rsidRPr="00A5663C">
              <w:rPr>
                <w:rFonts w:cs="Open Sans"/>
                <w:lang w:val="en-AU" w:eastAsia="en-US"/>
              </w:rPr>
              <w:t xml:space="preserve">. The </w:t>
            </w:r>
            <w:r w:rsidR="008F106E">
              <w:rPr>
                <w:rFonts w:cs="Open Sans"/>
                <w:lang w:val="en-AU" w:eastAsia="en-US"/>
              </w:rPr>
              <w:t xml:space="preserve">Council’s new </w:t>
            </w:r>
            <w:r w:rsidRPr="00A5663C">
              <w:rPr>
                <w:rFonts w:cs="Open Sans"/>
                <w:lang w:val="en-AU" w:eastAsia="en-US"/>
              </w:rPr>
              <w:t xml:space="preserve">document is largely based on the </w:t>
            </w:r>
            <w:r w:rsidR="00D533DF">
              <w:rPr>
                <w:rFonts w:cs="Open Sans"/>
                <w:lang w:val="en-AU" w:eastAsia="en-US"/>
              </w:rPr>
              <w:t xml:space="preserve">draft </w:t>
            </w:r>
            <w:r w:rsidRPr="00A5663C">
              <w:rPr>
                <w:rFonts w:cs="Open Sans"/>
                <w:lang w:val="en-AU" w:eastAsia="en-US"/>
              </w:rPr>
              <w:t>DC policy 2018, with few changes to the text. However significant changes have been made to Schedule 2 of the policy, relating to development types and unit of demand factors. These changes include:</w:t>
            </w:r>
          </w:p>
          <w:p w14:paraId="3840D2B7" w14:textId="545B6BB5" w:rsidR="00B32FD5" w:rsidRPr="00A5663C" w:rsidRDefault="00B32FD5" w:rsidP="00A5663C">
            <w:pPr>
              <w:pStyle w:val="ListParagraph"/>
              <w:numPr>
                <w:ilvl w:val="0"/>
                <w:numId w:val="20"/>
              </w:numPr>
              <w:spacing w:after="120" w:line="276" w:lineRule="auto"/>
              <w:ind w:left="714" w:hanging="357"/>
              <w:contextualSpacing w:val="0"/>
              <w:rPr>
                <w:rFonts w:eastAsia="MS Mincho" w:cstheme="minorBidi"/>
                <w:lang w:val="en-GB" w:eastAsia="zh-TW"/>
              </w:rPr>
            </w:pPr>
            <w:r w:rsidRPr="00A5663C">
              <w:rPr>
                <w:rFonts w:eastAsia="MS Mincho" w:cstheme="minorBidi"/>
                <w:lang w:val="en-GB" w:eastAsia="zh-TW"/>
              </w:rPr>
              <w:t xml:space="preserve">the units of demand for transport attributed to retail, hospitality, recreational and personal services increasing by around </w:t>
            </w:r>
            <w:r w:rsidR="002C4093">
              <w:rPr>
                <w:rFonts w:eastAsia="MS Mincho" w:cstheme="minorBidi"/>
                <w:lang w:val="en-GB" w:eastAsia="zh-TW"/>
              </w:rPr>
              <w:t>5</w:t>
            </w:r>
            <w:r w:rsidRPr="00A5663C">
              <w:rPr>
                <w:rFonts w:eastAsia="MS Mincho" w:cstheme="minorBidi"/>
                <w:lang w:val="en-GB" w:eastAsia="zh-TW"/>
              </w:rPr>
              <w:t>00 percent from the 2018 policy; and</w:t>
            </w:r>
          </w:p>
          <w:p w14:paraId="29E07665" w14:textId="77777777" w:rsidR="00B32FD5" w:rsidRPr="00A5663C" w:rsidRDefault="00B32FD5" w:rsidP="00A5663C">
            <w:pPr>
              <w:pStyle w:val="ListParagraph"/>
              <w:numPr>
                <w:ilvl w:val="0"/>
                <w:numId w:val="20"/>
              </w:numPr>
              <w:spacing w:after="240" w:line="276" w:lineRule="auto"/>
              <w:ind w:left="714" w:hanging="357"/>
              <w:contextualSpacing w:val="0"/>
              <w:rPr>
                <w:rFonts w:eastAsia="MS Mincho" w:cstheme="minorBidi"/>
                <w:lang w:val="en-GB" w:eastAsia="zh-TW"/>
              </w:rPr>
            </w:pPr>
            <w:r w:rsidRPr="00A5663C">
              <w:rPr>
                <w:rFonts w:eastAsia="MS Mincho" w:cstheme="minorBidi"/>
                <w:lang w:val="en-GB" w:eastAsia="zh-TW"/>
              </w:rPr>
              <w:lastRenderedPageBreak/>
              <w:t>an increase of approximately 100 percent for the units of demand for transport attributed to commercial activities (including offices).</w:t>
            </w:r>
          </w:p>
          <w:p w14:paraId="232AD836" w14:textId="49EE12E0" w:rsidR="00B32FD5" w:rsidRPr="00A5663C" w:rsidRDefault="00B32FD5" w:rsidP="00A5663C">
            <w:pPr>
              <w:spacing w:after="200" w:line="276" w:lineRule="auto"/>
              <w:ind w:left="24" w:right="111"/>
              <w:rPr>
                <w:rFonts w:cs="Open Sans"/>
                <w:lang w:val="en-AU" w:eastAsia="en-US"/>
              </w:rPr>
            </w:pPr>
            <w:r w:rsidRPr="00A5663C">
              <w:rPr>
                <w:rFonts w:cs="Open Sans"/>
                <w:lang w:val="en-AU" w:eastAsia="en-US"/>
              </w:rPr>
              <w:t xml:space="preserve">An extract from the draft 2018 policy, followed by an extract from the draft 2019 policy are </w:t>
            </w:r>
            <w:r w:rsidR="008F106E">
              <w:rPr>
                <w:rFonts w:cs="Open Sans"/>
                <w:lang w:val="en-AU" w:eastAsia="en-US"/>
              </w:rPr>
              <w:t>provid</w:t>
            </w:r>
            <w:r w:rsidRPr="00A5663C">
              <w:rPr>
                <w:rFonts w:cs="Open Sans"/>
                <w:lang w:val="en-AU" w:eastAsia="en-US"/>
              </w:rPr>
              <w:t xml:space="preserve">ed </w:t>
            </w:r>
            <w:r w:rsidR="008F106E">
              <w:rPr>
                <w:rFonts w:cs="Open Sans"/>
                <w:lang w:val="en-AU" w:eastAsia="en-US"/>
              </w:rPr>
              <w:t xml:space="preserve">in Figures 2 and 3 </w:t>
            </w:r>
            <w:r w:rsidRPr="00A5663C">
              <w:rPr>
                <w:rFonts w:cs="Open Sans"/>
                <w:lang w:val="en-AU" w:eastAsia="en-US"/>
              </w:rPr>
              <w:t xml:space="preserve">below, illustrating the change in DC charges. </w:t>
            </w:r>
          </w:p>
          <w:p w14:paraId="16EFC528" w14:textId="5C4E30E3" w:rsidR="00C22FAE" w:rsidRPr="00C22FAE" w:rsidRDefault="00C22FAE" w:rsidP="00471B97">
            <w:pPr>
              <w:pStyle w:val="Caption"/>
              <w:tabs>
                <w:tab w:val="left" w:pos="161"/>
              </w:tabs>
              <w:spacing w:after="120"/>
              <w:ind w:left="19" w:hanging="4"/>
              <w:rPr>
                <w:lang w:val="en-GB" w:eastAsia="zh-TW"/>
              </w:rPr>
            </w:pPr>
            <w:bookmarkStart w:id="30" w:name="_Toc533411216"/>
            <w:r>
              <w:t xml:space="preserve">Figure </w:t>
            </w:r>
            <w:r w:rsidR="00E0357F">
              <w:rPr>
                <w:noProof/>
              </w:rPr>
              <w:fldChar w:fldCharType="begin"/>
            </w:r>
            <w:r w:rsidR="00E0357F">
              <w:rPr>
                <w:rFonts w:eastAsia="MS Mincho" w:cstheme="minorBidi"/>
                <w:noProof/>
                <w:lang w:eastAsia="en-US"/>
              </w:rPr>
              <w:instrText xml:space="preserve"> SEQ Figure \* ARABIC </w:instrText>
            </w:r>
            <w:r w:rsidR="00E0357F">
              <w:rPr>
                <w:noProof/>
              </w:rPr>
              <w:fldChar w:fldCharType="separate"/>
            </w:r>
            <w:r w:rsidR="0034416C">
              <w:rPr>
                <w:rFonts w:eastAsia="MS Mincho" w:cstheme="minorBidi"/>
                <w:noProof/>
                <w:lang w:eastAsia="en-US"/>
              </w:rPr>
              <w:t>2</w:t>
            </w:r>
            <w:r w:rsidR="00E0357F">
              <w:rPr>
                <w:noProof/>
              </w:rPr>
              <w:fldChar w:fldCharType="end"/>
            </w:r>
            <w:r>
              <w:t>: Extract from 2018 draft DC policy Schedule 2</w:t>
            </w:r>
            <w:bookmarkEnd w:id="30"/>
          </w:p>
          <w:p w14:paraId="6EC1B70B" w14:textId="64213018" w:rsidR="00B32FD5" w:rsidRDefault="00B32FD5" w:rsidP="00471B97">
            <w:pPr>
              <w:spacing w:after="240" w:line="276" w:lineRule="auto"/>
              <w:ind w:left="165" w:right="210" w:hanging="165"/>
              <w:rPr>
                <w:lang w:val="en-AU"/>
              </w:rPr>
            </w:pPr>
            <w:r>
              <w:rPr>
                <w:noProof/>
                <w:lang w:val="en-AU"/>
              </w:rPr>
              <w:drawing>
                <wp:inline distT="0" distB="0" distL="0" distR="0" wp14:anchorId="3909F798" wp14:editId="5D826072">
                  <wp:extent cx="5441429" cy="105088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1-20 at 10.06.40 A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7533" cy="1094551"/>
                          </a:xfrm>
                          <a:prstGeom prst="rect">
                            <a:avLst/>
                          </a:prstGeom>
                        </pic:spPr>
                      </pic:pic>
                    </a:graphicData>
                  </a:graphic>
                </wp:inline>
              </w:drawing>
            </w:r>
          </w:p>
          <w:p w14:paraId="6C54F5B6" w14:textId="56C1E000" w:rsidR="00C22FAE" w:rsidRPr="00C22FAE" w:rsidRDefault="00C22FAE" w:rsidP="00471B97">
            <w:pPr>
              <w:pStyle w:val="Caption"/>
              <w:spacing w:after="120"/>
              <w:ind w:left="19" w:hanging="4"/>
              <w:rPr>
                <w:lang w:val="en-GB" w:eastAsia="zh-TW"/>
              </w:rPr>
            </w:pPr>
            <w:bookmarkStart w:id="31" w:name="_Toc533411217"/>
            <w:r>
              <w:t xml:space="preserve">Figure </w:t>
            </w:r>
            <w:r w:rsidR="00E0357F">
              <w:rPr>
                <w:noProof/>
              </w:rPr>
              <w:fldChar w:fldCharType="begin"/>
            </w:r>
            <w:r w:rsidR="00E0357F">
              <w:rPr>
                <w:rFonts w:eastAsia="MS Mincho" w:cstheme="minorBidi"/>
                <w:noProof/>
                <w:lang w:eastAsia="en-US"/>
              </w:rPr>
              <w:instrText xml:space="preserve"> SEQ Figure \* ARABIC </w:instrText>
            </w:r>
            <w:r w:rsidR="00E0357F">
              <w:rPr>
                <w:noProof/>
              </w:rPr>
              <w:fldChar w:fldCharType="separate"/>
            </w:r>
            <w:r w:rsidR="0034416C">
              <w:rPr>
                <w:rFonts w:eastAsia="MS Mincho" w:cstheme="minorBidi"/>
                <w:noProof/>
                <w:lang w:eastAsia="en-US"/>
              </w:rPr>
              <w:t>3</w:t>
            </w:r>
            <w:r w:rsidR="00E0357F">
              <w:rPr>
                <w:noProof/>
              </w:rPr>
              <w:fldChar w:fldCharType="end"/>
            </w:r>
            <w:r>
              <w:t>: Extract from 2019 draft DC policy Schedule 2</w:t>
            </w:r>
            <w:bookmarkEnd w:id="31"/>
          </w:p>
          <w:p w14:paraId="1BC35B5E" w14:textId="77777777" w:rsidR="00B32FD5" w:rsidRPr="00243FAB" w:rsidRDefault="00B32FD5" w:rsidP="00471B97">
            <w:pPr>
              <w:spacing w:line="276" w:lineRule="auto"/>
              <w:ind w:left="19" w:right="209"/>
              <w:rPr>
                <w:lang w:val="en-AU"/>
              </w:rPr>
            </w:pPr>
            <w:r>
              <w:rPr>
                <w:noProof/>
                <w:lang w:val="en-AU"/>
              </w:rPr>
              <w:drawing>
                <wp:inline distT="0" distB="0" distL="0" distR="0" wp14:anchorId="2B45DD74" wp14:editId="66FD26F2">
                  <wp:extent cx="5402765" cy="170947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1-20 at 10.00.59 A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47243" cy="1723549"/>
                          </a:xfrm>
                          <a:prstGeom prst="rect">
                            <a:avLst/>
                          </a:prstGeom>
                        </pic:spPr>
                      </pic:pic>
                    </a:graphicData>
                  </a:graphic>
                </wp:inline>
              </w:drawing>
            </w:r>
          </w:p>
          <w:p w14:paraId="3ADDC4A3" w14:textId="5A8A475E" w:rsidR="00A5663C" w:rsidRDefault="00A5663C" w:rsidP="00471B97">
            <w:pPr>
              <w:keepNext/>
              <w:spacing w:before="200" w:line="276" w:lineRule="auto"/>
              <w:ind w:left="19" w:right="114"/>
              <w:rPr>
                <w:lang w:val="en-AU"/>
              </w:rPr>
            </w:pPr>
            <w:r>
              <w:rPr>
                <w:lang w:val="en-AU"/>
              </w:rPr>
              <w:t>As is evident</w:t>
            </w:r>
            <w:r w:rsidR="008F106E">
              <w:rPr>
                <w:lang w:val="en-AU"/>
              </w:rPr>
              <w:t xml:space="preserve"> from the two figures above</w:t>
            </w:r>
            <w:r>
              <w:rPr>
                <w:lang w:val="en-AU"/>
              </w:rPr>
              <w:t xml:space="preserve">, the </w:t>
            </w:r>
            <w:r w:rsidR="008F106E">
              <w:rPr>
                <w:lang w:val="en-AU"/>
              </w:rPr>
              <w:t>u</w:t>
            </w:r>
            <w:r>
              <w:rPr>
                <w:lang w:val="en-AU"/>
              </w:rPr>
              <w:t>nits of demand used to calculate HUEs for the transport DC charge ha</w:t>
            </w:r>
            <w:r w:rsidR="008F106E">
              <w:rPr>
                <w:lang w:val="en-AU"/>
              </w:rPr>
              <w:t>ve</w:t>
            </w:r>
            <w:r>
              <w:rPr>
                <w:lang w:val="en-AU"/>
              </w:rPr>
              <w:t xml:space="preserve"> significantly changed, particularly for retail, hospitality, recreation and personal services developments. </w:t>
            </w:r>
          </w:p>
          <w:p w14:paraId="3094EAAF" w14:textId="4C458F24" w:rsidR="00B32FD5" w:rsidRDefault="00A5663C" w:rsidP="00471B97">
            <w:pPr>
              <w:keepNext/>
              <w:spacing w:before="200" w:line="276" w:lineRule="auto"/>
              <w:ind w:left="19" w:right="114"/>
              <w:rPr>
                <w:lang w:val="en-AU"/>
              </w:rPr>
            </w:pPr>
            <w:r>
              <w:rPr>
                <w:lang w:val="en-AU"/>
              </w:rPr>
              <w:t>To illustrate this change</w:t>
            </w:r>
            <w:r w:rsidR="00B32FD5">
              <w:rPr>
                <w:lang w:val="en-AU"/>
              </w:rPr>
              <w:t>,</w:t>
            </w:r>
            <w:r>
              <w:rPr>
                <w:lang w:val="en-AU"/>
              </w:rPr>
              <w:t xml:space="preserve"> we use the example of a supermarket development with a GDA of 20,</w:t>
            </w:r>
            <w:r w:rsidRPr="00A5663C">
              <w:rPr>
                <w:lang w:val="en-AU"/>
              </w:rPr>
              <w:t>000m2</w:t>
            </w:r>
            <w:r>
              <w:rPr>
                <w:lang w:val="en-AU"/>
              </w:rPr>
              <w:t>. U</w:t>
            </w:r>
            <w:r w:rsidR="00B32FD5" w:rsidRPr="00A5663C">
              <w:rPr>
                <w:lang w:val="en-AU"/>
              </w:rPr>
              <w:t>nder</w:t>
            </w:r>
            <w:r w:rsidR="00B32FD5">
              <w:rPr>
                <w:lang w:val="en-AU"/>
              </w:rPr>
              <w:t xml:space="preserve"> the 2018 policy,</w:t>
            </w:r>
            <w:r w:rsidR="00B32FD5">
              <w:rPr>
                <w:vertAlign w:val="superscript"/>
                <w:lang w:val="en-AU"/>
              </w:rPr>
              <w:t xml:space="preserve"> </w:t>
            </w:r>
            <w:r>
              <w:rPr>
                <w:lang w:val="en-AU"/>
              </w:rPr>
              <w:t xml:space="preserve">this development </w:t>
            </w:r>
            <w:r w:rsidR="00B32FD5">
              <w:rPr>
                <w:lang w:val="en-AU"/>
              </w:rPr>
              <w:t xml:space="preserve">would have been assessed at approximately 93 HUEs. Under the 2019 policy, the transport DC for that same supermarket would be assessed on a total of 558 HUEs. </w:t>
            </w:r>
            <w:r>
              <w:rPr>
                <w:lang w:val="en-AU"/>
              </w:rPr>
              <w:t xml:space="preserve">This represents a 500 percent increase in DC costs for transport between these two years for this development </w:t>
            </w:r>
            <w:r w:rsidRPr="00D82C33">
              <w:rPr>
                <w:lang w:val="en-AU"/>
              </w:rPr>
              <w:t>type.</w:t>
            </w:r>
            <w:r w:rsidR="00E70D07" w:rsidRPr="00D82C33">
              <w:rPr>
                <w:rStyle w:val="FootnoteReference"/>
                <w:sz w:val="20"/>
                <w:lang w:val="en-AU"/>
              </w:rPr>
              <w:footnoteReference w:id="16"/>
            </w:r>
          </w:p>
          <w:p w14:paraId="5BFC04A1" w14:textId="5763A8DE" w:rsidR="00E70D07" w:rsidRPr="00281016" w:rsidRDefault="00B32FD5" w:rsidP="00471B97">
            <w:pPr>
              <w:keepNext/>
              <w:spacing w:before="200" w:line="276" w:lineRule="auto"/>
              <w:ind w:left="19" w:right="114"/>
              <w:rPr>
                <w:lang w:val="en-AU"/>
              </w:rPr>
            </w:pPr>
            <w:r>
              <w:rPr>
                <w:lang w:val="en-AU"/>
              </w:rPr>
              <w:t xml:space="preserve">The 2019 draft DC policy provides no specific narrative on </w:t>
            </w:r>
            <w:r w:rsidR="008F106E">
              <w:rPr>
                <w:lang w:val="en-AU"/>
              </w:rPr>
              <w:t xml:space="preserve">the basis for </w:t>
            </w:r>
            <w:r>
              <w:rPr>
                <w:lang w:val="en-AU"/>
              </w:rPr>
              <w:t xml:space="preserve">the increase in units of demand for transport attributed to these development types. </w:t>
            </w:r>
          </w:p>
        </w:tc>
      </w:tr>
    </w:tbl>
    <w:p w14:paraId="4916B292" w14:textId="24208C32" w:rsidR="00A5663C" w:rsidRPr="00081DC4" w:rsidRDefault="00E70D07" w:rsidP="00CD4CE9">
      <w:pPr>
        <w:spacing w:before="200"/>
        <w:rPr>
          <w:lang w:val="en-GB" w:eastAsia="zh-TW"/>
        </w:rPr>
      </w:pPr>
      <w:r>
        <w:rPr>
          <w:lang w:val="en-GB" w:eastAsia="zh-TW"/>
        </w:rPr>
        <w:lastRenderedPageBreak/>
        <w:t>W</w:t>
      </w:r>
      <w:r w:rsidR="00A5663C">
        <w:rPr>
          <w:lang w:val="en-GB" w:eastAsia="zh-TW"/>
        </w:rPr>
        <w:t xml:space="preserve">hile it may </w:t>
      </w:r>
      <w:r>
        <w:rPr>
          <w:lang w:val="en-GB" w:eastAsia="zh-TW"/>
        </w:rPr>
        <w:t>be justified</w:t>
      </w:r>
      <w:r w:rsidR="00A5663C">
        <w:rPr>
          <w:lang w:val="en-GB" w:eastAsia="zh-TW"/>
        </w:rPr>
        <w:t xml:space="preserve"> for </w:t>
      </w:r>
      <w:r>
        <w:rPr>
          <w:lang w:val="en-GB" w:eastAsia="zh-TW"/>
        </w:rPr>
        <w:t xml:space="preserve">local authorities to increase DC charging rates from one year to the next, an increase of 500 percent </w:t>
      </w:r>
      <w:r w:rsidR="00D82C33">
        <w:rPr>
          <w:lang w:val="en-GB" w:eastAsia="zh-TW"/>
        </w:rPr>
        <w:t xml:space="preserve">for this DC category far exceeds </w:t>
      </w:r>
      <w:r>
        <w:rPr>
          <w:lang w:val="en-GB" w:eastAsia="zh-TW"/>
        </w:rPr>
        <w:t>what we consider to be reasonable.</w:t>
      </w:r>
      <w:r w:rsidR="00CD4CE9">
        <w:rPr>
          <w:lang w:val="en-GB" w:eastAsia="zh-TW"/>
        </w:rPr>
        <w:t xml:space="preserve"> To our assessment, this kind of variation immediately raises questions about the solidarity of the charging rates in the first place and the extent that they </w:t>
      </w:r>
      <w:r w:rsidR="0002247B">
        <w:rPr>
          <w:lang w:val="en-GB" w:eastAsia="zh-TW"/>
        </w:rPr>
        <w:t xml:space="preserve">are </w:t>
      </w:r>
      <w:r w:rsidR="00AF6EE0">
        <w:rPr>
          <w:lang w:val="en-GB" w:eastAsia="zh-TW"/>
        </w:rPr>
        <w:t xml:space="preserve">based on </w:t>
      </w:r>
      <w:r w:rsidR="00CD4CE9">
        <w:rPr>
          <w:lang w:val="en-GB" w:eastAsia="zh-TW"/>
        </w:rPr>
        <w:t xml:space="preserve">real costs. </w:t>
      </w:r>
      <w:r w:rsidR="00D82C33">
        <w:rPr>
          <w:lang w:val="en-GB" w:eastAsia="zh-TW"/>
        </w:rPr>
        <w:t xml:space="preserve">Once again, </w:t>
      </w:r>
      <w:r w:rsidR="00AF6EE0">
        <w:rPr>
          <w:lang w:val="en-GB" w:eastAsia="zh-TW"/>
        </w:rPr>
        <w:t>i</w:t>
      </w:r>
      <w:r w:rsidR="00D82C33">
        <w:rPr>
          <w:lang w:val="en-GB" w:eastAsia="zh-TW"/>
        </w:rPr>
        <w:t xml:space="preserve">f charges are proportionate and based on the causal nexus approach that </w:t>
      </w:r>
      <w:r w:rsidR="00D82C33" w:rsidRPr="000A4D01">
        <w:rPr>
          <w:b/>
          <w:color w:val="183F7C"/>
          <w:lang w:val="en-GB" w:eastAsia="ja-JP"/>
        </w:rPr>
        <w:t>Principle a</w:t>
      </w:r>
      <w:r w:rsidR="00D82C33">
        <w:rPr>
          <w:b/>
          <w:color w:val="183F7C"/>
          <w:lang w:val="en-GB" w:eastAsia="ja-JP"/>
        </w:rPr>
        <w:t xml:space="preserve"> </w:t>
      </w:r>
      <w:r w:rsidR="00D82C33">
        <w:rPr>
          <w:lang w:val="en-GB" w:eastAsia="zh-TW"/>
        </w:rPr>
        <w:t xml:space="preserve">establishes, a rise in charges of this magnitude would not occur. </w:t>
      </w:r>
    </w:p>
    <w:p w14:paraId="66D26044" w14:textId="42910161" w:rsidR="00E70C20" w:rsidRDefault="001A767E" w:rsidP="001A767E">
      <w:pPr>
        <w:pStyle w:val="Heading2"/>
      </w:pPr>
      <w:bookmarkStart w:id="32" w:name="_Toc533411199"/>
      <w:r>
        <w:lastRenderedPageBreak/>
        <w:t>Lack of transparency</w:t>
      </w:r>
      <w:bookmarkEnd w:id="32"/>
    </w:p>
    <w:p w14:paraId="502C71F6" w14:textId="5B4E1BA9" w:rsidR="00490BA0" w:rsidRDefault="00EE2429" w:rsidP="00471B97">
      <w:pPr>
        <w:spacing w:after="240"/>
        <w:rPr>
          <w:lang w:val="en-GB" w:eastAsia="zh-TW"/>
        </w:rPr>
      </w:pPr>
      <w:r>
        <w:rPr>
          <w:lang w:val="en-GB" w:eastAsia="zh-TW"/>
        </w:rPr>
        <w:t xml:space="preserve">We have noted </w:t>
      </w:r>
      <w:r w:rsidR="00490BA0">
        <w:rPr>
          <w:lang w:val="en-GB" w:eastAsia="zh-TW"/>
        </w:rPr>
        <w:t xml:space="preserve">a number of </w:t>
      </w:r>
      <w:r>
        <w:rPr>
          <w:lang w:val="en-GB" w:eastAsia="zh-TW"/>
        </w:rPr>
        <w:t>concerns regarding the tra</w:t>
      </w:r>
      <w:r w:rsidR="00490BA0">
        <w:rPr>
          <w:lang w:val="en-GB" w:eastAsia="zh-TW"/>
        </w:rPr>
        <w:t xml:space="preserve">nsparency of the current system. These concerns </w:t>
      </w:r>
      <w:r w:rsidR="00603422">
        <w:rPr>
          <w:lang w:val="en-GB" w:eastAsia="zh-TW"/>
        </w:rPr>
        <w:t>fit under three</w:t>
      </w:r>
      <w:r w:rsidR="00490BA0">
        <w:rPr>
          <w:lang w:val="en-GB" w:eastAsia="zh-TW"/>
        </w:rPr>
        <w:t xml:space="preserve"> main categories:</w:t>
      </w:r>
    </w:p>
    <w:p w14:paraId="1818A9BE" w14:textId="0461BF58" w:rsidR="00490BA0" w:rsidRDefault="00490BA0" w:rsidP="00471B97">
      <w:pPr>
        <w:pStyle w:val="ListParagraph"/>
        <w:numPr>
          <w:ilvl w:val="0"/>
          <w:numId w:val="15"/>
        </w:numPr>
        <w:spacing w:after="120" w:line="276" w:lineRule="auto"/>
        <w:ind w:left="714" w:hanging="357"/>
        <w:contextualSpacing w:val="0"/>
        <w:rPr>
          <w:lang w:val="en-GB" w:eastAsia="zh-TW"/>
        </w:rPr>
      </w:pPr>
      <w:r>
        <w:rPr>
          <w:lang w:val="en-GB" w:eastAsia="zh-TW"/>
        </w:rPr>
        <w:t xml:space="preserve">lack of transparency in DC policy development; </w:t>
      </w:r>
    </w:p>
    <w:p w14:paraId="1A4DC1D3" w14:textId="34F64B4E" w:rsidR="00490BA0" w:rsidRDefault="00490BA0" w:rsidP="00471B97">
      <w:pPr>
        <w:pStyle w:val="ListParagraph"/>
        <w:numPr>
          <w:ilvl w:val="0"/>
          <w:numId w:val="15"/>
        </w:numPr>
        <w:spacing w:after="120" w:line="276" w:lineRule="auto"/>
        <w:ind w:left="714" w:hanging="357"/>
        <w:contextualSpacing w:val="0"/>
        <w:rPr>
          <w:lang w:val="en-GB" w:eastAsia="zh-TW"/>
        </w:rPr>
      </w:pPr>
      <w:r>
        <w:rPr>
          <w:lang w:val="en-GB" w:eastAsia="zh-TW"/>
        </w:rPr>
        <w:t>lack of transparency in DC policy application</w:t>
      </w:r>
      <w:r w:rsidR="00451051">
        <w:rPr>
          <w:lang w:val="en-GB" w:eastAsia="zh-TW"/>
        </w:rPr>
        <w:t>; and</w:t>
      </w:r>
    </w:p>
    <w:p w14:paraId="69D4A4C3" w14:textId="785A1C0B" w:rsidR="00490BA0" w:rsidRDefault="00455B04" w:rsidP="00471B97">
      <w:pPr>
        <w:pStyle w:val="ListParagraph"/>
        <w:numPr>
          <w:ilvl w:val="0"/>
          <w:numId w:val="15"/>
        </w:numPr>
        <w:spacing w:after="240" w:line="276" w:lineRule="auto"/>
        <w:ind w:left="714" w:hanging="357"/>
        <w:contextualSpacing w:val="0"/>
        <w:rPr>
          <w:lang w:val="en-GB" w:eastAsia="zh-TW"/>
        </w:rPr>
      </w:pPr>
      <w:r>
        <w:rPr>
          <w:lang w:val="en-GB" w:eastAsia="zh-TW"/>
        </w:rPr>
        <w:t>l</w:t>
      </w:r>
      <w:r w:rsidR="00490BA0">
        <w:rPr>
          <w:lang w:val="en-GB" w:eastAsia="zh-TW"/>
        </w:rPr>
        <w:t xml:space="preserve">ack </w:t>
      </w:r>
      <w:r w:rsidR="00603422">
        <w:rPr>
          <w:lang w:val="en-GB" w:eastAsia="zh-TW"/>
        </w:rPr>
        <w:t>of transpa</w:t>
      </w:r>
      <w:r w:rsidR="00490BA0">
        <w:rPr>
          <w:lang w:val="en-GB" w:eastAsia="zh-TW"/>
        </w:rPr>
        <w:t xml:space="preserve">rency in </w:t>
      </w:r>
      <w:r w:rsidR="00603422">
        <w:rPr>
          <w:lang w:val="en-GB" w:eastAsia="zh-TW"/>
        </w:rPr>
        <w:t>DC usag</w:t>
      </w:r>
      <w:r w:rsidR="00451051">
        <w:rPr>
          <w:lang w:val="en-GB" w:eastAsia="zh-TW"/>
        </w:rPr>
        <w:t>e.</w:t>
      </w:r>
    </w:p>
    <w:p w14:paraId="2CE52343" w14:textId="0B695D18" w:rsidR="00B22236" w:rsidRDefault="00EA3A08" w:rsidP="00574BC4">
      <w:pPr>
        <w:rPr>
          <w:lang w:val="en-GB" w:eastAsia="zh-TW"/>
        </w:rPr>
      </w:pPr>
      <w:r w:rsidRPr="002345CC">
        <w:rPr>
          <w:b/>
          <w:color w:val="273B78"/>
          <w:lang w:val="en-GB" w:eastAsia="zh-TW"/>
        </w:rPr>
        <w:t>Principle e</w:t>
      </w:r>
      <w:r w:rsidRPr="002345CC">
        <w:rPr>
          <w:color w:val="273B78"/>
          <w:lang w:val="en-GB" w:eastAsia="zh-TW"/>
        </w:rPr>
        <w:t xml:space="preserve"> </w:t>
      </w:r>
      <w:r w:rsidR="00944A91">
        <w:rPr>
          <w:lang w:val="en-GB" w:eastAsia="zh-TW"/>
        </w:rPr>
        <w:t xml:space="preserve">below relates </w:t>
      </w:r>
      <w:r w:rsidR="006C3CCA">
        <w:rPr>
          <w:lang w:val="en-GB" w:eastAsia="zh-TW"/>
        </w:rPr>
        <w:t xml:space="preserve">directly to the issue of transparency. </w:t>
      </w:r>
    </w:p>
    <w:p w14:paraId="1E9D9861" w14:textId="4550193D" w:rsidR="00864FBC" w:rsidRPr="00AB10C1" w:rsidRDefault="00B22236" w:rsidP="00574BC4">
      <w:pPr>
        <w:rPr>
          <w:lang w:val="en-GB" w:eastAsia="zh-TW"/>
        </w:rPr>
      </w:pPr>
      <w:r>
        <w:rPr>
          <w:noProof/>
          <w:lang w:val="en-GB" w:eastAsia="zh-TW"/>
        </w:rPr>
        <mc:AlternateContent>
          <mc:Choice Requires="wps">
            <w:drawing>
              <wp:inline distT="0" distB="0" distL="0" distR="0" wp14:anchorId="0CC2E848" wp14:editId="43345481">
                <wp:extent cx="5688330" cy="704850"/>
                <wp:effectExtent l="0" t="0" r="7620" b="0"/>
                <wp:docPr id="26" name="Rectangle 26"/>
                <wp:cNvGraphicFramePr/>
                <a:graphic xmlns:a="http://schemas.openxmlformats.org/drawingml/2006/main">
                  <a:graphicData uri="http://schemas.microsoft.com/office/word/2010/wordprocessingShape">
                    <wps:wsp>
                      <wps:cNvSpPr/>
                      <wps:spPr>
                        <a:xfrm>
                          <a:off x="0" y="0"/>
                          <a:ext cx="5688330" cy="704850"/>
                        </a:xfrm>
                        <a:prstGeom prst="rect">
                          <a:avLst/>
                        </a:prstGeom>
                        <a:solidFill>
                          <a:srgbClr val="85AEDC">
                            <a:alpha val="3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5803C" w14:textId="4C930E0D" w:rsidR="005A4AFA" w:rsidRDefault="005A4AFA" w:rsidP="00B22236">
                            <w:pPr>
                              <w:rPr>
                                <w:rFonts w:cs="Open Sans"/>
                                <w:i/>
                                <w:color w:val="000000" w:themeColor="text1"/>
                                <w:lang w:val="en-GB" w:eastAsia="zh-TW"/>
                              </w:rPr>
                            </w:pPr>
                            <w:r w:rsidRPr="00324F64">
                              <w:rPr>
                                <w:b/>
                                <w:i/>
                                <w:color w:val="183F7C"/>
                                <w:lang w:val="en-GB" w:eastAsia="ja-JP"/>
                              </w:rPr>
                              <w:t>Principle e:</w:t>
                            </w:r>
                            <w:r w:rsidRPr="00324F64">
                              <w:rPr>
                                <w:rFonts w:cs="Open Sans"/>
                                <w:i/>
                                <w:color w:val="000000" w:themeColor="text1"/>
                                <w:lang w:val="en-GB" w:eastAsia="zh-TW"/>
                              </w:rPr>
                              <w:t xml:space="preserve"> territorial authorities should make sufficient information available to demonstrate what development contributions are being used for and why they are being used;</w:t>
                            </w:r>
                          </w:p>
                          <w:p w14:paraId="5C45778E" w14:textId="77777777" w:rsidR="005A4AFA" w:rsidRPr="00B24C20" w:rsidRDefault="005A4AFA" w:rsidP="00B22236">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C2E848" id="Rectangle 26" o:spid="_x0000_s1034" style="width:447.9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" fillcolor="#85aedc" stroked="f" strokeweight="2pt">
                <v:fill opacity="22359f"/>
                <v:textbox>
                  <w:txbxContent>
                    <w:p w14:paraId="63F5803C" w14:textId="4C930E0D" w:rsidR="005A4AFA" w:rsidRDefault="005A4AFA" w:rsidP="00B22236">
                      <w:pPr>
                        <w:rPr>
                          <w:rFonts w:cs="Open Sans"/>
                          <w:i/>
                          <w:color w:val="000000" w:themeColor="text1"/>
                          <w:lang w:val="en-GB" w:eastAsia="zh-TW"/>
                        </w:rPr>
                      </w:pPr>
                      <w:r w:rsidRPr="00324F64">
                        <w:rPr>
                          <w:b/>
                          <w:i/>
                          <w:color w:val="183F7C"/>
                          <w:lang w:val="en-GB" w:eastAsia="ja-JP"/>
                        </w:rPr>
                        <w:t>Principle e:</w:t>
                      </w:r>
                      <w:r w:rsidRPr="00324F64">
                        <w:rPr>
                          <w:rFonts w:cs="Open Sans"/>
                          <w:i/>
                          <w:color w:val="000000" w:themeColor="text1"/>
                          <w:lang w:val="en-GB" w:eastAsia="zh-TW"/>
                        </w:rPr>
                        <w:t xml:space="preserve"> territorial authorities should make sufficient information available to demonstrate what development contributions are being used for and why they are being used;</w:t>
                      </w:r>
                    </w:p>
                    <w:p w14:paraId="5C45778E" w14:textId="77777777" w:rsidR="005A4AFA" w:rsidRPr="00B24C20" w:rsidRDefault="005A4AFA" w:rsidP="00B22236">
                      <w:pPr>
                        <w:jc w:val="center"/>
                        <w:rPr>
                          <w:lang w:val="en-GB"/>
                        </w:rPr>
                      </w:pPr>
                    </w:p>
                  </w:txbxContent>
                </v:textbox>
                <w10:anchorlock/>
              </v:rect>
            </w:pict>
          </mc:Fallback>
        </mc:AlternateContent>
      </w:r>
    </w:p>
    <w:p w14:paraId="1C45BA96" w14:textId="49EBA1DD" w:rsidR="00603422" w:rsidRPr="00603422" w:rsidRDefault="004B5EFC" w:rsidP="004B5EFC">
      <w:pPr>
        <w:pStyle w:val="Heading3"/>
        <w:rPr>
          <w:lang w:val="en-GB" w:eastAsia="zh-TW"/>
        </w:rPr>
      </w:pPr>
      <w:r>
        <w:rPr>
          <w:lang w:val="en-GB" w:eastAsia="zh-TW"/>
        </w:rPr>
        <w:t>Lack of transparency in DC policy development</w:t>
      </w:r>
    </w:p>
    <w:p w14:paraId="64846A28" w14:textId="538E4B72" w:rsidR="002A0B7A" w:rsidRDefault="005417CE" w:rsidP="00490BA0">
      <w:pPr>
        <w:rPr>
          <w:lang w:val="en-GB" w:eastAsia="zh-TW"/>
        </w:rPr>
      </w:pPr>
      <w:r>
        <w:rPr>
          <w:lang w:val="en-GB" w:eastAsia="zh-TW"/>
        </w:rPr>
        <w:t xml:space="preserve">Local governments are currently required to update their DC policies at least once every three years. </w:t>
      </w:r>
      <w:r w:rsidR="00F378F3">
        <w:rPr>
          <w:lang w:val="en-GB" w:eastAsia="zh-TW"/>
        </w:rPr>
        <w:t xml:space="preserve">Some councils such as QLDC will undergo this process every year, while others such as Wellington Council (alongside the majority of </w:t>
      </w:r>
      <w:r w:rsidR="002A3A29">
        <w:rPr>
          <w:lang w:val="en-GB" w:eastAsia="zh-TW"/>
        </w:rPr>
        <w:t xml:space="preserve">councils in small </w:t>
      </w:r>
      <w:r w:rsidR="00EA3A08">
        <w:rPr>
          <w:lang w:val="en-GB" w:eastAsia="zh-TW"/>
        </w:rPr>
        <w:t>communities)</w:t>
      </w:r>
      <w:r w:rsidR="002A3A29">
        <w:rPr>
          <w:lang w:val="en-GB" w:eastAsia="zh-TW"/>
        </w:rPr>
        <w:t xml:space="preserve"> opt for the once every three year</w:t>
      </w:r>
      <w:r w:rsidR="00EE260E">
        <w:rPr>
          <w:lang w:val="en-GB" w:eastAsia="zh-TW"/>
        </w:rPr>
        <w:t>s</w:t>
      </w:r>
      <w:r w:rsidR="002A3A29">
        <w:rPr>
          <w:lang w:val="en-GB" w:eastAsia="zh-TW"/>
        </w:rPr>
        <w:t xml:space="preserve"> option. </w:t>
      </w:r>
      <w:r w:rsidR="00AC74CE">
        <w:rPr>
          <w:lang w:val="en-GB" w:eastAsia="zh-TW"/>
        </w:rPr>
        <w:t xml:space="preserve">In accordance with the LGA (section 82), any DC policy amendment must involve public consultation. </w:t>
      </w:r>
    </w:p>
    <w:p w14:paraId="11C7F4FF" w14:textId="2FFFBB97" w:rsidR="003C5B44" w:rsidRDefault="00EA3A08" w:rsidP="00490BA0">
      <w:pPr>
        <w:rPr>
          <w:lang w:val="en-GB" w:eastAsia="zh-TW"/>
        </w:rPr>
      </w:pPr>
      <w:r>
        <w:rPr>
          <w:lang w:val="en-GB" w:eastAsia="zh-TW"/>
        </w:rPr>
        <w:t>Local councils</w:t>
      </w:r>
      <w:r w:rsidR="003C5B44">
        <w:rPr>
          <w:lang w:val="en-GB" w:eastAsia="zh-TW"/>
        </w:rPr>
        <w:t xml:space="preserve"> generally put together an updated DC policy including proposed amendments, which is then released for public consultation. </w:t>
      </w:r>
    </w:p>
    <w:p w14:paraId="727101A0" w14:textId="6270864E" w:rsidR="00490BA0" w:rsidRDefault="00B22236" w:rsidP="00490BA0">
      <w:pPr>
        <w:rPr>
          <w:lang w:val="en-GB" w:eastAsia="zh-TW"/>
        </w:rPr>
      </w:pPr>
      <w:r>
        <w:rPr>
          <w:lang w:val="en-GB" w:eastAsia="zh-TW"/>
        </w:rPr>
        <w:t xml:space="preserve">Figure </w:t>
      </w:r>
      <w:r w:rsidR="00242416">
        <w:rPr>
          <w:lang w:val="en-GB" w:eastAsia="zh-TW"/>
        </w:rPr>
        <w:t>4</w:t>
      </w:r>
      <w:r w:rsidR="002A0B7A">
        <w:rPr>
          <w:lang w:val="en-GB" w:eastAsia="zh-TW"/>
        </w:rPr>
        <w:t xml:space="preserve"> below provides an example</w:t>
      </w:r>
      <w:r w:rsidR="00EA3A08">
        <w:rPr>
          <w:lang w:val="en-GB" w:eastAsia="zh-TW"/>
        </w:rPr>
        <w:t xml:space="preserve"> (from QLDC in 2016)</w:t>
      </w:r>
      <w:r w:rsidR="002A0B7A">
        <w:rPr>
          <w:lang w:val="en-GB" w:eastAsia="zh-TW"/>
        </w:rPr>
        <w:t xml:space="preserve"> of the timeline involved in such a consultation.</w:t>
      </w:r>
    </w:p>
    <w:p w14:paraId="50772B0F" w14:textId="74115782" w:rsidR="002A0B7A" w:rsidRDefault="002A0B7A" w:rsidP="002A0B7A">
      <w:pPr>
        <w:pStyle w:val="Caption"/>
        <w:rPr>
          <w:lang w:val="en-GB" w:eastAsia="zh-TW"/>
        </w:rPr>
      </w:pPr>
      <w:bookmarkStart w:id="33" w:name="_Toc533411218"/>
      <w:r>
        <w:t xml:space="preserve">Figure </w:t>
      </w:r>
      <w:r w:rsidR="00607091">
        <w:rPr>
          <w:noProof/>
        </w:rPr>
        <w:fldChar w:fldCharType="begin"/>
      </w:r>
      <w:r w:rsidR="00607091">
        <w:rPr>
          <w:noProof/>
        </w:rPr>
        <w:instrText xml:space="preserve"> SEQ Figure \* ARABIC </w:instrText>
      </w:r>
      <w:r w:rsidR="00607091">
        <w:rPr>
          <w:noProof/>
        </w:rPr>
        <w:fldChar w:fldCharType="separate"/>
      </w:r>
      <w:r w:rsidR="0034416C">
        <w:rPr>
          <w:noProof/>
        </w:rPr>
        <w:t>4</w:t>
      </w:r>
      <w:r w:rsidR="00607091">
        <w:rPr>
          <w:noProof/>
        </w:rPr>
        <w:fldChar w:fldCharType="end"/>
      </w:r>
      <w:r>
        <w:t>: Consultation timeline for QLDC DC policy amendment</w:t>
      </w:r>
      <w:bookmarkEnd w:id="33"/>
    </w:p>
    <w:p w14:paraId="342F00C4" w14:textId="70673B38" w:rsidR="00490BA0" w:rsidRDefault="002A0B7A" w:rsidP="00490BA0">
      <w:pPr>
        <w:rPr>
          <w:lang w:val="en-GB" w:eastAsia="zh-TW"/>
        </w:rPr>
      </w:pPr>
      <w:r>
        <w:rPr>
          <w:noProof/>
          <w:lang w:val="en-GB" w:eastAsia="zh-TW"/>
        </w:rPr>
        <w:drawing>
          <wp:inline distT="0" distB="0" distL="0" distR="0" wp14:anchorId="15A6385D" wp14:editId="63145294">
            <wp:extent cx="3731120" cy="803187"/>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9-24 at 3.14.13 PM.jpeg"/>
                    <pic:cNvPicPr/>
                  </pic:nvPicPr>
                  <pic:blipFill>
                    <a:blip r:embed="rId31"/>
                    <a:stretch>
                      <a:fillRect/>
                    </a:stretch>
                  </pic:blipFill>
                  <pic:spPr>
                    <a:xfrm>
                      <a:off x="0" y="0"/>
                      <a:ext cx="3750370" cy="807331"/>
                    </a:xfrm>
                    <a:prstGeom prst="rect">
                      <a:avLst/>
                    </a:prstGeom>
                  </pic:spPr>
                </pic:pic>
              </a:graphicData>
            </a:graphic>
          </wp:inline>
        </w:drawing>
      </w:r>
    </w:p>
    <w:p w14:paraId="4357D1F9" w14:textId="1F65E308" w:rsidR="002A0B7A" w:rsidRDefault="0028557F" w:rsidP="00490BA0">
      <w:pPr>
        <w:rPr>
          <w:lang w:val="en-GB" w:eastAsia="zh-TW"/>
        </w:rPr>
      </w:pPr>
      <w:r>
        <w:rPr>
          <w:lang w:val="en-GB" w:eastAsia="zh-TW"/>
        </w:rPr>
        <w:t>The public had</w:t>
      </w:r>
      <w:r w:rsidR="003C5B44">
        <w:rPr>
          <w:lang w:val="en-GB" w:eastAsia="zh-TW"/>
        </w:rPr>
        <w:t xml:space="preserve"> approximately four weeks to process the new change</w:t>
      </w:r>
      <w:r>
        <w:rPr>
          <w:lang w:val="en-GB" w:eastAsia="zh-TW"/>
        </w:rPr>
        <w:t>s and form a submission. This was</w:t>
      </w:r>
      <w:r w:rsidR="003C5B44">
        <w:rPr>
          <w:lang w:val="en-GB" w:eastAsia="zh-TW"/>
        </w:rPr>
        <w:t xml:space="preserve"> followed by </w:t>
      </w:r>
      <w:r w:rsidR="002A0B7A">
        <w:rPr>
          <w:lang w:val="en-GB" w:eastAsia="zh-TW"/>
        </w:rPr>
        <w:t>one day of hearing of submissions, with a final decision on the proposal</w:t>
      </w:r>
      <w:r w:rsidR="003C5B44">
        <w:rPr>
          <w:lang w:val="en-GB" w:eastAsia="zh-TW"/>
        </w:rPr>
        <w:t xml:space="preserve"> approximately two</w:t>
      </w:r>
      <w:r w:rsidR="0099131A">
        <w:rPr>
          <w:lang w:val="en-GB" w:eastAsia="zh-TW"/>
        </w:rPr>
        <w:t xml:space="preserve"> weeks later. </w:t>
      </w:r>
      <w:r w:rsidR="005D5E19">
        <w:rPr>
          <w:lang w:val="en-GB" w:eastAsia="zh-TW"/>
        </w:rPr>
        <w:t>This is the only forum for public input into DC policies.</w:t>
      </w:r>
    </w:p>
    <w:p w14:paraId="63B0615C" w14:textId="05B0E200" w:rsidR="000706D8" w:rsidRDefault="005D5E19" w:rsidP="00490BA0">
      <w:pPr>
        <w:rPr>
          <w:lang w:val="en-GB" w:eastAsia="zh-TW"/>
        </w:rPr>
      </w:pPr>
      <w:r>
        <w:rPr>
          <w:lang w:val="en-GB" w:eastAsia="zh-TW"/>
        </w:rPr>
        <w:t>Foodstuffs, alongs</w:t>
      </w:r>
      <w:r w:rsidR="005E7810">
        <w:rPr>
          <w:lang w:val="en-GB" w:eastAsia="zh-TW"/>
        </w:rPr>
        <w:t>ide a number of members of the Property C</w:t>
      </w:r>
      <w:r>
        <w:rPr>
          <w:lang w:val="en-GB" w:eastAsia="zh-TW"/>
        </w:rPr>
        <w:t>ouncil ha</w:t>
      </w:r>
      <w:r w:rsidR="00A15C15">
        <w:rPr>
          <w:lang w:val="en-GB" w:eastAsia="zh-TW"/>
        </w:rPr>
        <w:t xml:space="preserve">s </w:t>
      </w:r>
      <w:r>
        <w:rPr>
          <w:lang w:val="en-GB" w:eastAsia="zh-TW"/>
        </w:rPr>
        <w:t>expressed that while the current</w:t>
      </w:r>
      <w:r w:rsidR="0028557F">
        <w:rPr>
          <w:lang w:val="en-GB" w:eastAsia="zh-TW"/>
        </w:rPr>
        <w:t xml:space="preserve"> system</w:t>
      </w:r>
      <w:r w:rsidR="0098047B">
        <w:rPr>
          <w:lang w:val="en-GB" w:eastAsia="zh-TW"/>
        </w:rPr>
        <w:t xml:space="preserve"> provide</w:t>
      </w:r>
      <w:r w:rsidR="0028557F">
        <w:rPr>
          <w:lang w:val="en-GB" w:eastAsia="zh-TW"/>
        </w:rPr>
        <w:t>s</w:t>
      </w:r>
      <w:r w:rsidR="0098047B">
        <w:rPr>
          <w:lang w:val="en-GB" w:eastAsia="zh-TW"/>
        </w:rPr>
        <w:t xml:space="preserve"> </w:t>
      </w:r>
      <w:r w:rsidR="0028557F">
        <w:rPr>
          <w:lang w:val="en-GB" w:eastAsia="zh-TW"/>
        </w:rPr>
        <w:t>a</w:t>
      </w:r>
      <w:r w:rsidR="0098047B">
        <w:rPr>
          <w:lang w:val="en-GB" w:eastAsia="zh-TW"/>
        </w:rPr>
        <w:t xml:space="preserve"> platform f</w:t>
      </w:r>
      <w:r w:rsidR="0028557F">
        <w:rPr>
          <w:lang w:val="en-GB" w:eastAsia="zh-TW"/>
        </w:rPr>
        <w:t>or public input, in reality the</w:t>
      </w:r>
      <w:r w:rsidR="0098047B">
        <w:rPr>
          <w:lang w:val="en-GB" w:eastAsia="zh-TW"/>
        </w:rPr>
        <w:t xml:space="preserve"> process equips the public</w:t>
      </w:r>
      <w:r w:rsidR="0028557F">
        <w:rPr>
          <w:lang w:val="en-GB" w:eastAsia="zh-TW"/>
        </w:rPr>
        <w:t xml:space="preserve"> with little opportunity</w:t>
      </w:r>
      <w:r w:rsidR="0098047B">
        <w:rPr>
          <w:lang w:val="en-GB" w:eastAsia="zh-TW"/>
        </w:rPr>
        <w:t xml:space="preserve"> to engage with councils in a meaningful way. </w:t>
      </w:r>
      <w:proofErr w:type="gramStart"/>
      <w:r w:rsidR="0098047B">
        <w:rPr>
          <w:lang w:val="en-GB" w:eastAsia="zh-TW"/>
        </w:rPr>
        <w:t>The single day of submission hearings,</w:t>
      </w:r>
      <w:proofErr w:type="gramEnd"/>
      <w:r w:rsidR="0098047B">
        <w:rPr>
          <w:lang w:val="en-GB" w:eastAsia="zh-TW"/>
        </w:rPr>
        <w:t xml:space="preserve"> followed by a decision on the proposal two weeks later does not provide councils with the ability to respond to legitimate concerns or make any real changes to their methodology at this point. </w:t>
      </w:r>
    </w:p>
    <w:p w14:paraId="14003010" w14:textId="77777777" w:rsidR="0028557F" w:rsidRDefault="000706D8" w:rsidP="00490BA0">
      <w:pPr>
        <w:rPr>
          <w:lang w:val="en-GB" w:eastAsia="zh-TW"/>
        </w:rPr>
      </w:pPr>
      <w:r>
        <w:rPr>
          <w:lang w:val="en-GB" w:eastAsia="zh-TW"/>
        </w:rPr>
        <w:t>Inability to properly engage with the council is compounded by the fact that the consultation period occurs at the end of the policy creation process. By this point councils tend to be matured in their thinking, reducing their responsiveness to</w:t>
      </w:r>
      <w:r w:rsidR="0028557F">
        <w:rPr>
          <w:lang w:val="en-GB" w:eastAsia="zh-TW"/>
        </w:rPr>
        <w:t xml:space="preserve"> major concerns or suggestions.</w:t>
      </w:r>
    </w:p>
    <w:p w14:paraId="4FAEAEAB" w14:textId="51229C07" w:rsidR="00F32523" w:rsidRDefault="0028557F" w:rsidP="00490BA0">
      <w:pPr>
        <w:rPr>
          <w:lang w:val="en-GB" w:eastAsia="zh-TW"/>
        </w:rPr>
      </w:pPr>
      <w:r>
        <w:rPr>
          <w:lang w:val="en-GB" w:eastAsia="zh-TW"/>
        </w:rPr>
        <w:t>This consultation period</w:t>
      </w:r>
      <w:r w:rsidR="00E61945">
        <w:rPr>
          <w:lang w:val="en-GB" w:eastAsia="zh-TW"/>
        </w:rPr>
        <w:t xml:space="preserve"> is the only chance for the public to be part of DC policy </w:t>
      </w:r>
      <w:r w:rsidR="00A15C15">
        <w:rPr>
          <w:lang w:val="en-GB" w:eastAsia="zh-TW"/>
        </w:rPr>
        <w:t>formation</w:t>
      </w:r>
      <w:r w:rsidR="00F32523">
        <w:rPr>
          <w:lang w:val="en-GB" w:eastAsia="zh-TW"/>
        </w:rPr>
        <w:t xml:space="preserve">. Particularly if the local council updates its policy every third year, </w:t>
      </w:r>
      <w:r>
        <w:rPr>
          <w:lang w:val="en-GB" w:eastAsia="zh-TW"/>
        </w:rPr>
        <w:t>th</w:t>
      </w:r>
      <w:r w:rsidR="00A15C15">
        <w:rPr>
          <w:lang w:val="en-GB" w:eastAsia="zh-TW"/>
        </w:rPr>
        <w:t>is provides</w:t>
      </w:r>
      <w:r w:rsidR="00CD1241">
        <w:rPr>
          <w:lang w:val="en-GB" w:eastAsia="zh-TW"/>
        </w:rPr>
        <w:t xml:space="preserve"> a very small window, with </w:t>
      </w:r>
      <w:r w:rsidR="00782AF1">
        <w:rPr>
          <w:lang w:val="en-GB" w:eastAsia="zh-TW"/>
        </w:rPr>
        <w:t>a</w:t>
      </w:r>
      <w:r w:rsidR="00CD1241">
        <w:rPr>
          <w:lang w:val="en-GB" w:eastAsia="zh-TW"/>
        </w:rPr>
        <w:t xml:space="preserve"> limited capacity to create change. </w:t>
      </w:r>
    </w:p>
    <w:p w14:paraId="1A403BD0" w14:textId="2B5E6DDC" w:rsidR="00653D30" w:rsidRDefault="00653D30" w:rsidP="00490BA0">
      <w:pPr>
        <w:rPr>
          <w:lang w:val="en-GB" w:eastAsia="zh-TW"/>
        </w:rPr>
      </w:pPr>
      <w:r>
        <w:rPr>
          <w:lang w:val="en-GB" w:eastAsia="zh-TW"/>
        </w:rPr>
        <w:lastRenderedPageBreak/>
        <w:t xml:space="preserve">It is important at this point to note that once a DC policy is finalised, it is outside of the powers of a developer to question the </w:t>
      </w:r>
      <w:r w:rsidR="00955B30">
        <w:rPr>
          <w:lang w:val="en-GB" w:eastAsia="zh-TW"/>
        </w:rPr>
        <w:t xml:space="preserve">contents of the policy. This means that whether or not the developer believes the policy is fair or representative of real costs, </w:t>
      </w:r>
      <w:r w:rsidR="00DB1FBB">
        <w:rPr>
          <w:lang w:val="en-GB" w:eastAsia="zh-TW"/>
        </w:rPr>
        <w:t>they have no ability to challenge the policy itself.</w:t>
      </w:r>
    </w:p>
    <w:p w14:paraId="063A90E1" w14:textId="71DC5599" w:rsidR="00DB1FBB" w:rsidRDefault="00DB1FBB" w:rsidP="00471B97">
      <w:pPr>
        <w:spacing w:after="240"/>
        <w:rPr>
          <w:lang w:val="en-GB" w:eastAsia="zh-TW"/>
        </w:rPr>
      </w:pPr>
      <w:r>
        <w:rPr>
          <w:lang w:val="en-GB" w:eastAsia="zh-TW"/>
        </w:rPr>
        <w:t>Instead,</w:t>
      </w:r>
      <w:r w:rsidR="00241B19">
        <w:rPr>
          <w:lang w:val="en-GB" w:eastAsia="zh-TW"/>
        </w:rPr>
        <w:t xml:space="preserve"> under section 199A of the LGA,</w:t>
      </w:r>
      <w:r>
        <w:rPr>
          <w:lang w:val="en-GB" w:eastAsia="zh-TW"/>
        </w:rPr>
        <w:t xml:space="preserve"> developers are </w:t>
      </w:r>
      <w:r w:rsidR="00782AF1">
        <w:rPr>
          <w:lang w:val="en-GB" w:eastAsia="zh-TW"/>
        </w:rPr>
        <w:t xml:space="preserve">only </w:t>
      </w:r>
      <w:r>
        <w:rPr>
          <w:lang w:val="en-GB" w:eastAsia="zh-TW"/>
        </w:rPr>
        <w:t>able to challenge</w:t>
      </w:r>
      <w:r w:rsidR="00F80BE4">
        <w:rPr>
          <w:lang w:val="en-GB" w:eastAsia="zh-TW"/>
        </w:rPr>
        <w:t xml:space="preserve"> whether or not:</w:t>
      </w:r>
    </w:p>
    <w:p w14:paraId="40C99E1F" w14:textId="695D1FFE" w:rsidR="00F80BE4" w:rsidRDefault="00B8484E" w:rsidP="00471B97">
      <w:pPr>
        <w:pStyle w:val="ListParagraph"/>
        <w:numPr>
          <w:ilvl w:val="0"/>
          <w:numId w:val="16"/>
        </w:numPr>
        <w:spacing w:after="120" w:line="276" w:lineRule="auto"/>
        <w:ind w:left="714" w:hanging="357"/>
        <w:contextualSpacing w:val="0"/>
        <w:rPr>
          <w:lang w:val="en-GB" w:eastAsia="zh-TW"/>
        </w:rPr>
      </w:pPr>
      <w:r>
        <w:rPr>
          <w:lang w:val="en-GB" w:eastAsia="zh-TW"/>
        </w:rPr>
        <w:t>t</w:t>
      </w:r>
      <w:r w:rsidR="00F80BE4">
        <w:rPr>
          <w:lang w:val="en-GB" w:eastAsia="zh-TW"/>
        </w:rPr>
        <w:t>he DCs have been correctly assessed under the policy;</w:t>
      </w:r>
    </w:p>
    <w:p w14:paraId="5B8AF974" w14:textId="4081E81D" w:rsidR="00F80BE4" w:rsidRDefault="00B8484E" w:rsidP="00471B97">
      <w:pPr>
        <w:pStyle w:val="ListParagraph"/>
        <w:numPr>
          <w:ilvl w:val="0"/>
          <w:numId w:val="16"/>
        </w:numPr>
        <w:spacing w:after="120" w:line="276" w:lineRule="auto"/>
        <w:ind w:left="714" w:hanging="357"/>
        <w:contextualSpacing w:val="0"/>
        <w:rPr>
          <w:lang w:val="en-GB" w:eastAsia="zh-TW"/>
        </w:rPr>
      </w:pPr>
      <w:r>
        <w:rPr>
          <w:lang w:val="en-GB" w:eastAsia="zh-TW"/>
        </w:rPr>
        <w:t>t</w:t>
      </w:r>
      <w:r w:rsidR="00F80BE4">
        <w:rPr>
          <w:lang w:val="en-GB" w:eastAsia="zh-TW"/>
        </w:rPr>
        <w:t>he policy has been correctly applied</w:t>
      </w:r>
      <w:r w:rsidR="00374EAD">
        <w:rPr>
          <w:lang w:val="en-GB" w:eastAsia="zh-TW"/>
        </w:rPr>
        <w:t>;</w:t>
      </w:r>
      <w:r w:rsidR="001F1584">
        <w:rPr>
          <w:lang w:val="en-GB" w:eastAsia="zh-TW"/>
        </w:rPr>
        <w:t xml:space="preserve"> and/or</w:t>
      </w:r>
    </w:p>
    <w:p w14:paraId="7957BB41" w14:textId="26B1BAF3" w:rsidR="00F80BE4" w:rsidRPr="00F80BE4" w:rsidRDefault="00B8484E" w:rsidP="00471B97">
      <w:pPr>
        <w:pStyle w:val="ListParagraph"/>
        <w:numPr>
          <w:ilvl w:val="0"/>
          <w:numId w:val="16"/>
        </w:numPr>
        <w:spacing w:after="240" w:line="276" w:lineRule="auto"/>
        <w:ind w:left="714" w:hanging="357"/>
        <w:contextualSpacing w:val="0"/>
        <w:rPr>
          <w:lang w:val="en-GB" w:eastAsia="zh-TW"/>
        </w:rPr>
      </w:pPr>
      <w:r>
        <w:rPr>
          <w:lang w:val="en-GB" w:eastAsia="zh-TW"/>
        </w:rPr>
        <w:t>i</w:t>
      </w:r>
      <w:r w:rsidR="00F80BE4">
        <w:rPr>
          <w:lang w:val="en-GB" w:eastAsia="zh-TW"/>
        </w:rPr>
        <w:t>ncomplete information was used to assess</w:t>
      </w:r>
      <w:r w:rsidR="00374EAD">
        <w:rPr>
          <w:lang w:val="en-GB" w:eastAsia="zh-TW"/>
        </w:rPr>
        <w:t xml:space="preserve"> the development.</w:t>
      </w:r>
    </w:p>
    <w:p w14:paraId="0862F65A" w14:textId="7EDAB390" w:rsidR="008D60E3" w:rsidRDefault="008D60E3" w:rsidP="00471B97">
      <w:pPr>
        <w:spacing w:after="240"/>
        <w:rPr>
          <w:lang w:val="en-GB" w:eastAsia="zh-TW"/>
        </w:rPr>
      </w:pPr>
      <w:r>
        <w:rPr>
          <w:lang w:val="en-GB" w:eastAsia="zh-TW"/>
        </w:rPr>
        <w:t xml:space="preserve">Another </w:t>
      </w:r>
      <w:r w:rsidR="000F3F1E">
        <w:rPr>
          <w:lang w:val="en-GB" w:eastAsia="zh-TW"/>
        </w:rPr>
        <w:t xml:space="preserve">important factor </w:t>
      </w:r>
      <w:r w:rsidR="00FC53F4">
        <w:rPr>
          <w:lang w:val="en-GB" w:eastAsia="zh-TW"/>
        </w:rPr>
        <w:t xml:space="preserve">surrounding the current DC policy consultation process is that it requires a high level of resources, funding and time to contribute meaningfully into this discussion. This </w:t>
      </w:r>
      <w:proofErr w:type="gramStart"/>
      <w:r w:rsidR="00FC53F4">
        <w:rPr>
          <w:lang w:val="en-GB" w:eastAsia="zh-TW"/>
        </w:rPr>
        <w:t>is a reflection of</w:t>
      </w:r>
      <w:proofErr w:type="gramEnd"/>
      <w:r w:rsidR="00FC53F4">
        <w:rPr>
          <w:lang w:val="en-GB" w:eastAsia="zh-TW"/>
        </w:rPr>
        <w:t xml:space="preserve"> the complexity of th</w:t>
      </w:r>
      <w:r w:rsidR="00835DB9">
        <w:rPr>
          <w:lang w:val="en-GB" w:eastAsia="zh-TW"/>
        </w:rPr>
        <w:t>e calculations and a</w:t>
      </w:r>
      <w:r w:rsidR="006E2801">
        <w:rPr>
          <w:lang w:val="en-GB" w:eastAsia="zh-TW"/>
        </w:rPr>
        <w:t>ssumptions. This can lead</w:t>
      </w:r>
      <w:r w:rsidR="00835DB9">
        <w:rPr>
          <w:lang w:val="en-GB" w:eastAsia="zh-TW"/>
        </w:rPr>
        <w:t xml:space="preserve"> to the following issues:</w:t>
      </w:r>
    </w:p>
    <w:p w14:paraId="5AC21858" w14:textId="195D7B53" w:rsidR="00835DB9" w:rsidRDefault="00835DB9" w:rsidP="00471B97">
      <w:pPr>
        <w:pStyle w:val="ListParagraph"/>
        <w:numPr>
          <w:ilvl w:val="0"/>
          <w:numId w:val="17"/>
        </w:numPr>
        <w:spacing w:after="120" w:line="276" w:lineRule="auto"/>
        <w:ind w:left="714" w:hanging="357"/>
        <w:contextualSpacing w:val="0"/>
        <w:rPr>
          <w:lang w:val="en-GB" w:eastAsia="zh-TW"/>
        </w:rPr>
      </w:pPr>
      <w:r>
        <w:rPr>
          <w:lang w:val="en-GB" w:eastAsia="zh-TW"/>
        </w:rPr>
        <w:t>only large companies/developers are likely to have the resources to engage in this process, while smaller firms may be unrepresented;</w:t>
      </w:r>
    </w:p>
    <w:p w14:paraId="331099C6" w14:textId="4A12C539" w:rsidR="00835DB9" w:rsidRDefault="00FC118E" w:rsidP="00471B97">
      <w:pPr>
        <w:pStyle w:val="ListParagraph"/>
        <w:numPr>
          <w:ilvl w:val="0"/>
          <w:numId w:val="17"/>
        </w:numPr>
        <w:spacing w:after="120" w:line="276" w:lineRule="auto"/>
        <w:ind w:left="714" w:hanging="357"/>
        <w:contextualSpacing w:val="0"/>
        <w:rPr>
          <w:lang w:val="en-GB" w:eastAsia="zh-TW"/>
        </w:rPr>
      </w:pPr>
      <w:r>
        <w:rPr>
          <w:lang w:val="en-GB" w:eastAsia="zh-TW"/>
        </w:rPr>
        <w:t>difficulties for nationwide developers to actively stay updated with and participate in DC policy discussions of multiple local councils;</w:t>
      </w:r>
      <w:r w:rsidR="00B21EC4">
        <w:rPr>
          <w:lang w:val="en-GB" w:eastAsia="zh-TW"/>
        </w:rPr>
        <w:t xml:space="preserve"> and</w:t>
      </w:r>
    </w:p>
    <w:p w14:paraId="6411B503" w14:textId="6BB58458" w:rsidR="00EE55B7" w:rsidRPr="00EE55B7" w:rsidRDefault="00B21EC4" w:rsidP="00471B97">
      <w:pPr>
        <w:pStyle w:val="ListParagraph"/>
        <w:numPr>
          <w:ilvl w:val="0"/>
          <w:numId w:val="17"/>
        </w:numPr>
        <w:spacing w:after="240" w:line="276" w:lineRule="auto"/>
        <w:ind w:left="714" w:hanging="357"/>
        <w:contextualSpacing w:val="0"/>
        <w:rPr>
          <w:lang w:val="en-GB" w:eastAsia="zh-TW"/>
        </w:rPr>
      </w:pPr>
      <w:r>
        <w:rPr>
          <w:lang w:val="en-GB" w:eastAsia="zh-TW"/>
        </w:rPr>
        <w:t>developers only consider</w:t>
      </w:r>
      <w:r w:rsidR="00215FC4">
        <w:rPr>
          <w:lang w:val="en-GB" w:eastAsia="zh-TW"/>
        </w:rPr>
        <w:t>ing</w:t>
      </w:r>
      <w:r>
        <w:rPr>
          <w:lang w:val="en-GB" w:eastAsia="zh-TW"/>
        </w:rPr>
        <w:t xml:space="preserve"> resourcing a challenge if they anticipate </w:t>
      </w:r>
      <w:r w:rsidR="00EE55B7">
        <w:rPr>
          <w:lang w:val="en-GB" w:eastAsia="zh-TW"/>
        </w:rPr>
        <w:t>significant</w:t>
      </w:r>
      <w:r w:rsidR="00FA235C">
        <w:rPr>
          <w:lang w:val="en-GB" w:eastAsia="zh-TW"/>
        </w:rPr>
        <w:t xml:space="preserve"> financial implications of </w:t>
      </w:r>
      <w:r w:rsidR="00215FC4">
        <w:rPr>
          <w:lang w:val="en-GB" w:eastAsia="zh-TW"/>
        </w:rPr>
        <w:t>failing to</w:t>
      </w:r>
      <w:r w:rsidR="00782AF1">
        <w:rPr>
          <w:lang w:val="en-GB" w:eastAsia="zh-TW"/>
        </w:rPr>
        <w:t xml:space="preserve"> </w:t>
      </w:r>
      <w:r w:rsidR="00FA235C">
        <w:rPr>
          <w:lang w:val="en-GB" w:eastAsia="zh-TW"/>
        </w:rPr>
        <w:t>do so</w:t>
      </w:r>
      <w:r w:rsidR="00EE55B7">
        <w:rPr>
          <w:lang w:val="en-GB" w:eastAsia="zh-TW"/>
        </w:rPr>
        <w:t>.</w:t>
      </w:r>
    </w:p>
    <w:p w14:paraId="3337BE4F" w14:textId="158CF7F0" w:rsidR="00BA4384" w:rsidRDefault="00782AF1" w:rsidP="00EE55B7">
      <w:pPr>
        <w:rPr>
          <w:lang w:val="en-GB" w:eastAsia="zh-TW"/>
        </w:rPr>
      </w:pPr>
      <w:r>
        <w:rPr>
          <w:lang w:val="en-GB" w:eastAsia="zh-TW"/>
        </w:rPr>
        <w:t>The current system</w:t>
      </w:r>
      <w:r w:rsidR="00EE55B7" w:rsidRPr="00EE55B7">
        <w:rPr>
          <w:lang w:val="en-GB" w:eastAsia="zh-TW"/>
        </w:rPr>
        <w:t xml:space="preserve"> </w:t>
      </w:r>
      <w:r>
        <w:rPr>
          <w:lang w:val="en-GB" w:eastAsia="zh-TW"/>
        </w:rPr>
        <w:t>is not consistent with a</w:t>
      </w:r>
      <w:r w:rsidR="00EE55B7" w:rsidRPr="00EE55B7">
        <w:rPr>
          <w:lang w:val="en-GB" w:eastAsia="zh-TW"/>
        </w:rPr>
        <w:t xml:space="preserve"> transparent or collaborative process. As a result, councils can get away with putting together poor policies with widespread e</w:t>
      </w:r>
      <w:r w:rsidR="00BA4384">
        <w:rPr>
          <w:lang w:val="en-GB" w:eastAsia="zh-TW"/>
        </w:rPr>
        <w:t xml:space="preserve">ffects on developers. At this point it </w:t>
      </w:r>
      <w:r w:rsidR="00E90081">
        <w:rPr>
          <w:lang w:val="en-GB" w:eastAsia="zh-TW"/>
        </w:rPr>
        <w:t>appears to be common</w:t>
      </w:r>
      <w:r w:rsidR="00BA4384">
        <w:rPr>
          <w:lang w:val="en-GB" w:eastAsia="zh-TW"/>
        </w:rPr>
        <w:t xml:space="preserve"> for a local council to respond to any issues with the system with</w:t>
      </w:r>
      <w:r w:rsidR="00E90081">
        <w:rPr>
          <w:lang w:val="en-GB" w:eastAsia="zh-TW"/>
        </w:rPr>
        <w:t xml:space="preserve"> the response:</w:t>
      </w:r>
    </w:p>
    <w:p w14:paraId="7AA83E39" w14:textId="236800A7" w:rsidR="000F7C2A" w:rsidRPr="000F7C2A" w:rsidRDefault="00BA4384" w:rsidP="000F7C2A">
      <w:pPr>
        <w:ind w:left="567"/>
        <w:rPr>
          <w:i/>
          <w:lang w:val="en-GB" w:eastAsia="zh-TW"/>
        </w:rPr>
      </w:pPr>
      <w:r w:rsidRPr="00782AF1">
        <w:rPr>
          <w:i/>
          <w:lang w:val="en-GB" w:eastAsia="zh-TW"/>
        </w:rPr>
        <w:t xml:space="preserve"> “it’s in the policy</w:t>
      </w:r>
      <w:r w:rsidR="00782AF1" w:rsidRPr="00782AF1">
        <w:rPr>
          <w:i/>
          <w:lang w:val="en-GB" w:eastAsia="zh-TW"/>
        </w:rPr>
        <w:t>, if you disagree you should have submitted when we updated</w:t>
      </w:r>
      <w:r w:rsidR="00782AF1">
        <w:rPr>
          <w:i/>
          <w:lang w:val="en-GB" w:eastAsia="zh-TW"/>
        </w:rPr>
        <w:t xml:space="preserve"> the policy</w:t>
      </w:r>
      <w:r w:rsidR="00782AF1" w:rsidRPr="00782AF1">
        <w:rPr>
          <w:i/>
          <w:lang w:val="en-GB" w:eastAsia="zh-TW"/>
        </w:rPr>
        <w:t>.”</w:t>
      </w:r>
    </w:p>
    <w:p w14:paraId="2E47431F" w14:textId="60277642" w:rsidR="00CD4CE9" w:rsidRPr="00CD4CE9" w:rsidRDefault="00F0453A" w:rsidP="00CD4CE9">
      <w:pPr>
        <w:rPr>
          <w:lang w:val="en-GB" w:eastAsia="zh-TW"/>
        </w:rPr>
      </w:pPr>
      <w:r>
        <w:rPr>
          <w:lang w:val="en-GB" w:eastAsia="zh-TW"/>
        </w:rPr>
        <w:t xml:space="preserve">Case study </w:t>
      </w:r>
      <w:r w:rsidR="000F7C2A">
        <w:rPr>
          <w:lang w:val="en-GB" w:eastAsia="zh-TW"/>
        </w:rPr>
        <w:t xml:space="preserve">5 involving Auckland Council’s unexpected 500 percent rise in DC charges relating to transport for certain development types </w:t>
      </w:r>
      <w:r w:rsidR="008F106E">
        <w:rPr>
          <w:lang w:val="en-GB" w:eastAsia="zh-TW"/>
        </w:rPr>
        <w:t>i</w:t>
      </w:r>
      <w:r w:rsidR="000F7C2A">
        <w:rPr>
          <w:lang w:val="en-GB" w:eastAsia="zh-TW"/>
        </w:rPr>
        <w:t xml:space="preserve">s also a case of DC policy development lacking transparency. </w:t>
      </w:r>
      <w:r w:rsidR="00CA5A5E">
        <w:rPr>
          <w:lang w:val="en-GB" w:eastAsia="zh-TW"/>
        </w:rPr>
        <w:t xml:space="preserve">The changes in Schedule 2 </w:t>
      </w:r>
      <w:r w:rsidR="008F106E">
        <w:rPr>
          <w:lang w:val="en-GB" w:eastAsia="zh-TW"/>
        </w:rPr>
        <w:t>of Auckland Council’s</w:t>
      </w:r>
      <w:r w:rsidR="008F106E" w:rsidRPr="008F106E">
        <w:rPr>
          <w:rFonts w:cs="Open Sans"/>
          <w:lang w:val="en-AU"/>
        </w:rPr>
        <w:t xml:space="preserve"> </w:t>
      </w:r>
      <w:r w:rsidR="008F106E" w:rsidRPr="008F106E">
        <w:rPr>
          <w:lang w:val="en-AU" w:eastAsia="zh-TW"/>
        </w:rPr>
        <w:t>draft DC policy 2019</w:t>
      </w:r>
      <w:r w:rsidR="008F106E">
        <w:rPr>
          <w:lang w:val="en-GB" w:eastAsia="zh-TW"/>
        </w:rPr>
        <w:t xml:space="preserve"> </w:t>
      </w:r>
      <w:proofErr w:type="spellStart"/>
      <w:r w:rsidR="00CA5A5E">
        <w:rPr>
          <w:lang w:val="en-GB" w:eastAsia="zh-TW"/>
        </w:rPr>
        <w:t>were</w:t>
      </w:r>
      <w:proofErr w:type="spellEnd"/>
      <w:r w:rsidR="00CA5A5E">
        <w:rPr>
          <w:lang w:val="en-GB" w:eastAsia="zh-TW"/>
        </w:rPr>
        <w:t xml:space="preserve"> not</w:t>
      </w:r>
      <w:r w:rsidR="000F3C40">
        <w:rPr>
          <w:lang w:val="en-GB" w:eastAsia="zh-TW"/>
        </w:rPr>
        <w:t xml:space="preserve"> discussed before the document was released, nor was any explanation provided on the reasons for the increase. </w:t>
      </w:r>
      <w:r w:rsidR="00AA5B1F">
        <w:rPr>
          <w:lang w:val="en-GB" w:eastAsia="zh-TW"/>
        </w:rPr>
        <w:t xml:space="preserve">This lack of transparency does not coincide with </w:t>
      </w:r>
      <w:r w:rsidR="00AA5B1F" w:rsidRPr="00AA5B1F">
        <w:rPr>
          <w:b/>
          <w:color w:val="183F7C"/>
          <w:lang w:val="en-GB" w:eastAsia="ja-JP"/>
        </w:rPr>
        <w:t>Principle e</w:t>
      </w:r>
      <w:r w:rsidR="00AA5B1F">
        <w:rPr>
          <w:b/>
          <w:color w:val="183F7C"/>
          <w:lang w:val="en-GB" w:eastAsia="ja-JP"/>
        </w:rPr>
        <w:t xml:space="preserve"> </w:t>
      </w:r>
      <w:r w:rsidR="00AA5B1F">
        <w:rPr>
          <w:lang w:val="en-GB" w:eastAsia="zh-TW"/>
        </w:rPr>
        <w:t xml:space="preserve">and likely </w:t>
      </w:r>
      <w:r w:rsidR="006E25BC">
        <w:rPr>
          <w:lang w:val="en-GB" w:eastAsia="zh-TW"/>
        </w:rPr>
        <w:t xml:space="preserve">contributes </w:t>
      </w:r>
      <w:r w:rsidR="00154698">
        <w:rPr>
          <w:lang w:val="en-GB" w:eastAsia="zh-TW"/>
        </w:rPr>
        <w:t>significantly</w:t>
      </w:r>
      <w:r w:rsidR="00AA5B1F">
        <w:rPr>
          <w:lang w:val="en-GB" w:eastAsia="zh-TW"/>
        </w:rPr>
        <w:t xml:space="preserve"> to animosity between developers and local councils. </w:t>
      </w:r>
    </w:p>
    <w:p w14:paraId="7D7F8291" w14:textId="5379B794" w:rsidR="00D466FD" w:rsidRPr="00081DC4" w:rsidRDefault="00D466FD" w:rsidP="00081DC4">
      <w:pPr>
        <w:pStyle w:val="Heading3"/>
        <w:rPr>
          <w:lang w:val="en-GB" w:eastAsia="zh-TW"/>
        </w:rPr>
      </w:pPr>
      <w:r>
        <w:rPr>
          <w:lang w:val="en-GB" w:eastAsia="zh-TW"/>
        </w:rPr>
        <w:t>Lack of transparency in DC policy application</w:t>
      </w:r>
    </w:p>
    <w:p w14:paraId="2B708C43" w14:textId="01B046D1" w:rsidR="00B62023" w:rsidRDefault="00304B4C" w:rsidP="00D466FD">
      <w:pPr>
        <w:rPr>
          <w:lang w:val="en-GB" w:eastAsia="zh-TW"/>
        </w:rPr>
      </w:pPr>
      <w:r>
        <w:rPr>
          <w:lang w:val="en-GB" w:eastAsia="zh-TW"/>
        </w:rPr>
        <w:t>Our discussion with Foodstuffs</w:t>
      </w:r>
      <w:r w:rsidR="00782AF1">
        <w:rPr>
          <w:lang w:val="en-GB" w:eastAsia="zh-TW"/>
        </w:rPr>
        <w:t>’</w:t>
      </w:r>
      <w:r>
        <w:rPr>
          <w:lang w:val="en-GB" w:eastAsia="zh-TW"/>
        </w:rPr>
        <w:t xml:space="preserve"> property develop</w:t>
      </w:r>
      <w:r w:rsidR="00782AF1">
        <w:rPr>
          <w:lang w:val="en-GB" w:eastAsia="zh-TW"/>
        </w:rPr>
        <w:t>ment managers</w:t>
      </w:r>
      <w:r>
        <w:rPr>
          <w:lang w:val="en-GB" w:eastAsia="zh-TW"/>
        </w:rPr>
        <w:t xml:space="preserve"> has revealed </w:t>
      </w:r>
      <w:r w:rsidR="00B62023">
        <w:rPr>
          <w:lang w:val="en-GB" w:eastAsia="zh-TW"/>
        </w:rPr>
        <w:t xml:space="preserve">that when developers receive their DC assessment, there is </w:t>
      </w:r>
      <w:r w:rsidR="00782AF1">
        <w:rPr>
          <w:lang w:val="en-GB" w:eastAsia="zh-TW"/>
        </w:rPr>
        <w:t>often a</w:t>
      </w:r>
      <w:r w:rsidR="00B62023">
        <w:rPr>
          <w:lang w:val="en-GB" w:eastAsia="zh-TW"/>
        </w:rPr>
        <w:t xml:space="preserve"> sense of ambiguity over the breakdown of the charges and what each represents.</w:t>
      </w:r>
    </w:p>
    <w:p w14:paraId="42954B6C" w14:textId="3351C6EF" w:rsidR="00B62023" w:rsidRDefault="00B62023" w:rsidP="00D466FD">
      <w:pPr>
        <w:rPr>
          <w:lang w:val="en-GB" w:eastAsia="zh-TW"/>
        </w:rPr>
      </w:pPr>
      <w:r>
        <w:rPr>
          <w:lang w:val="en-GB" w:eastAsia="zh-TW"/>
        </w:rPr>
        <w:t xml:space="preserve">It is our understanding that there is currently no common format for DC assessments, nor is there a requirement for councils to include clarity on the </w:t>
      </w:r>
      <w:r w:rsidR="00FC5C6E">
        <w:rPr>
          <w:lang w:val="en-GB" w:eastAsia="zh-TW"/>
        </w:rPr>
        <w:t>development specifications used to calculate the set of charges</w:t>
      </w:r>
      <w:r w:rsidR="008502EC">
        <w:rPr>
          <w:lang w:val="en-GB" w:eastAsia="zh-TW"/>
        </w:rPr>
        <w:t xml:space="preserve">. </w:t>
      </w:r>
      <w:r>
        <w:rPr>
          <w:lang w:val="en-GB" w:eastAsia="zh-TW"/>
        </w:rPr>
        <w:t xml:space="preserve">Instead councils </w:t>
      </w:r>
      <w:r w:rsidR="002D0C9A">
        <w:rPr>
          <w:lang w:val="en-GB" w:eastAsia="zh-TW"/>
        </w:rPr>
        <w:t xml:space="preserve">tend to </w:t>
      </w:r>
      <w:r w:rsidR="000C0F95">
        <w:rPr>
          <w:lang w:val="en-GB" w:eastAsia="zh-TW"/>
        </w:rPr>
        <w:t xml:space="preserve">simply </w:t>
      </w:r>
      <w:r w:rsidR="002D0C9A">
        <w:rPr>
          <w:lang w:val="en-GB" w:eastAsia="zh-TW"/>
        </w:rPr>
        <w:t xml:space="preserve">state that the charges </w:t>
      </w:r>
      <w:r w:rsidR="0053730D">
        <w:rPr>
          <w:lang w:val="en-GB" w:eastAsia="zh-TW"/>
        </w:rPr>
        <w:t>are calculated ‘as per the Development Contributions Policy.’</w:t>
      </w:r>
    </w:p>
    <w:p w14:paraId="0D90D50C" w14:textId="33F2DAF7" w:rsidR="008F106E" w:rsidRPr="00451051" w:rsidRDefault="002C0666" w:rsidP="00451051">
      <w:pPr>
        <w:rPr>
          <w:lang w:val="en-GB" w:eastAsia="zh-TW"/>
        </w:rPr>
      </w:pPr>
      <w:r>
        <w:rPr>
          <w:lang w:val="en-GB" w:eastAsia="zh-TW"/>
        </w:rPr>
        <w:t>At present,</w:t>
      </w:r>
      <w:r w:rsidR="006649FA">
        <w:rPr>
          <w:lang w:val="en-GB" w:eastAsia="zh-TW"/>
        </w:rPr>
        <w:t xml:space="preserve"> the amount and depth of information that local councils provide developers in DC assessments varies from council to council. </w:t>
      </w:r>
      <w:r w:rsidR="00085240">
        <w:rPr>
          <w:lang w:val="en-GB" w:eastAsia="zh-TW"/>
        </w:rPr>
        <w:t>CCC</w:t>
      </w:r>
      <w:r w:rsidR="00782AF1">
        <w:rPr>
          <w:lang w:val="en-GB" w:eastAsia="zh-TW"/>
        </w:rPr>
        <w:t>,</w:t>
      </w:r>
      <w:r w:rsidR="00085240">
        <w:rPr>
          <w:lang w:val="en-GB" w:eastAsia="zh-TW"/>
        </w:rPr>
        <w:t xml:space="preserve"> for example</w:t>
      </w:r>
      <w:r w:rsidR="00782AF1">
        <w:rPr>
          <w:lang w:val="en-GB" w:eastAsia="zh-TW"/>
        </w:rPr>
        <w:t>,</w:t>
      </w:r>
      <w:r w:rsidR="00085240">
        <w:rPr>
          <w:lang w:val="en-GB" w:eastAsia="zh-TW"/>
        </w:rPr>
        <w:t xml:space="preserve"> provides a minimal amount of information in DC assessments</w:t>
      </w:r>
      <w:r w:rsidR="00A94C7A">
        <w:rPr>
          <w:lang w:val="en-GB" w:eastAsia="zh-TW"/>
        </w:rPr>
        <w:t xml:space="preserve">. Figure </w:t>
      </w:r>
      <w:r w:rsidR="00242416">
        <w:rPr>
          <w:lang w:val="en-GB" w:eastAsia="zh-TW"/>
        </w:rPr>
        <w:t>5</w:t>
      </w:r>
      <w:r w:rsidR="00085240">
        <w:rPr>
          <w:lang w:val="en-GB" w:eastAsia="zh-TW"/>
        </w:rPr>
        <w:t xml:space="preserve"> below </w:t>
      </w:r>
      <w:r w:rsidR="00641BFF">
        <w:rPr>
          <w:lang w:val="en-GB" w:eastAsia="zh-TW"/>
        </w:rPr>
        <w:t>gives</w:t>
      </w:r>
      <w:r w:rsidR="00085240">
        <w:rPr>
          <w:lang w:val="en-GB" w:eastAsia="zh-TW"/>
        </w:rPr>
        <w:t xml:space="preserve"> an example of the details attached to a DC assessment from CCC.</w:t>
      </w:r>
    </w:p>
    <w:p w14:paraId="17FDC3FE" w14:textId="06C71112" w:rsidR="00451051" w:rsidRDefault="00451051">
      <w:pPr>
        <w:rPr>
          <w:b/>
          <w:bCs/>
          <w:color w:val="193972"/>
        </w:rPr>
      </w:pPr>
      <w:r>
        <w:br w:type="page"/>
      </w:r>
    </w:p>
    <w:p w14:paraId="432BC634" w14:textId="693503ED" w:rsidR="00B22236" w:rsidRPr="00B22236" w:rsidRDefault="00B22236" w:rsidP="00B22236">
      <w:pPr>
        <w:pStyle w:val="Caption"/>
      </w:pPr>
      <w:bookmarkStart w:id="34" w:name="_Toc533411219"/>
      <w:r>
        <w:lastRenderedPageBreak/>
        <w:t xml:space="preserve">Figure </w:t>
      </w:r>
      <w:r w:rsidR="00973951">
        <w:rPr>
          <w:noProof/>
        </w:rPr>
        <w:fldChar w:fldCharType="begin"/>
      </w:r>
      <w:r w:rsidR="00973951">
        <w:rPr>
          <w:noProof/>
        </w:rPr>
        <w:instrText xml:space="preserve"> SEQ Figure \* ARABIC </w:instrText>
      </w:r>
      <w:r w:rsidR="00973951">
        <w:rPr>
          <w:noProof/>
        </w:rPr>
        <w:fldChar w:fldCharType="separate"/>
      </w:r>
      <w:r w:rsidR="0034416C">
        <w:rPr>
          <w:noProof/>
        </w:rPr>
        <w:t>5</w:t>
      </w:r>
      <w:r w:rsidR="00973951">
        <w:rPr>
          <w:noProof/>
        </w:rPr>
        <w:fldChar w:fldCharType="end"/>
      </w:r>
      <w:r>
        <w:t>: DC Assessment example from Christchurch City Council</w:t>
      </w:r>
      <w:bookmarkEnd w:id="34"/>
    </w:p>
    <w:p w14:paraId="2DFB12C5" w14:textId="1D57E830" w:rsidR="006649FA" w:rsidRDefault="00085240" w:rsidP="00D466FD">
      <w:pPr>
        <w:rPr>
          <w:lang w:val="en-GB" w:eastAsia="zh-TW"/>
        </w:rPr>
      </w:pPr>
      <w:r>
        <w:rPr>
          <w:noProof/>
          <w:lang w:val="en-GB" w:eastAsia="zh-TW"/>
        </w:rPr>
        <w:drawing>
          <wp:inline distT="0" distB="0" distL="0" distR="0" wp14:anchorId="251C4E95" wp14:editId="135ACC2F">
            <wp:extent cx="5731510" cy="28054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9-26 at 3.57.02 PM.jpeg"/>
                    <pic:cNvPicPr/>
                  </pic:nvPicPr>
                  <pic:blipFill>
                    <a:blip r:embed="rId32"/>
                    <a:stretch>
                      <a:fillRect/>
                    </a:stretch>
                  </pic:blipFill>
                  <pic:spPr>
                    <a:xfrm>
                      <a:off x="0" y="0"/>
                      <a:ext cx="5731510" cy="2805430"/>
                    </a:xfrm>
                    <a:prstGeom prst="rect">
                      <a:avLst/>
                    </a:prstGeom>
                  </pic:spPr>
                </pic:pic>
              </a:graphicData>
            </a:graphic>
          </wp:inline>
        </w:drawing>
      </w:r>
    </w:p>
    <w:p w14:paraId="2C8E43C2" w14:textId="0073DD99" w:rsidR="00E83896" w:rsidRPr="00782AF1" w:rsidRDefault="00E83896" w:rsidP="00D466FD">
      <w:pPr>
        <w:rPr>
          <w:lang w:val="en-GB" w:eastAsia="zh-TW"/>
        </w:rPr>
      </w:pPr>
      <w:r>
        <w:rPr>
          <w:lang w:val="en-GB" w:eastAsia="zh-TW"/>
        </w:rPr>
        <w:t>This asse</w:t>
      </w:r>
      <w:r w:rsidR="00782AF1">
        <w:rPr>
          <w:lang w:val="en-GB" w:eastAsia="zh-TW"/>
        </w:rPr>
        <w:t>ssment shows the developer that t</w:t>
      </w:r>
      <w:r w:rsidRPr="00782AF1">
        <w:rPr>
          <w:lang w:val="en-GB" w:eastAsia="zh-TW"/>
        </w:rPr>
        <w:t>heir impact on water supply infrastructure</w:t>
      </w:r>
      <w:r w:rsidR="00782AF1">
        <w:rPr>
          <w:lang w:val="en-GB" w:eastAsia="zh-TW"/>
        </w:rPr>
        <w:t xml:space="preserve"> has been assessed at 2.64 HUEs; t</w:t>
      </w:r>
      <w:r w:rsidRPr="00782AF1">
        <w:rPr>
          <w:lang w:val="en-GB" w:eastAsia="zh-TW"/>
        </w:rPr>
        <w:t>hey did not receiv</w:t>
      </w:r>
      <w:r w:rsidR="00782AF1">
        <w:rPr>
          <w:lang w:val="en-GB" w:eastAsia="zh-TW"/>
        </w:rPr>
        <w:t>e any HUE credits or discounts; and the DC rate for water supply wa</w:t>
      </w:r>
      <w:r w:rsidRPr="00782AF1">
        <w:rPr>
          <w:lang w:val="en-GB" w:eastAsia="zh-TW"/>
        </w:rPr>
        <w:t>s $2,785.59, which means that the water supply DC charge for their assessed 2.64 HUEs comes to a total of $7,367.32 (including GST).</w:t>
      </w:r>
    </w:p>
    <w:p w14:paraId="1DD6B222" w14:textId="6298E81B" w:rsidR="003E390E" w:rsidRDefault="00E83896" w:rsidP="00D466FD">
      <w:pPr>
        <w:rPr>
          <w:lang w:val="en-GB" w:eastAsia="zh-TW"/>
        </w:rPr>
      </w:pPr>
      <w:r>
        <w:rPr>
          <w:lang w:val="en-GB" w:eastAsia="zh-TW"/>
        </w:rPr>
        <w:t xml:space="preserve">What this assessment fails to </w:t>
      </w:r>
      <w:r w:rsidR="00FF4AB4">
        <w:rPr>
          <w:lang w:val="en-GB" w:eastAsia="zh-TW"/>
        </w:rPr>
        <w:t>inform the developer is how CCC came to an</w:t>
      </w:r>
      <w:r>
        <w:rPr>
          <w:lang w:val="en-GB" w:eastAsia="zh-TW"/>
        </w:rPr>
        <w:t xml:space="preserve"> assessed water suppl</w:t>
      </w:r>
      <w:r w:rsidR="00FF4AB4">
        <w:rPr>
          <w:lang w:val="en-GB" w:eastAsia="zh-TW"/>
        </w:rPr>
        <w:t>y infrastructure impact of 2.64</w:t>
      </w:r>
      <w:r w:rsidR="00782AF1">
        <w:rPr>
          <w:lang w:val="en-GB" w:eastAsia="zh-TW"/>
        </w:rPr>
        <w:t xml:space="preserve"> HUEs</w:t>
      </w:r>
      <w:r w:rsidR="00FF4AB4">
        <w:rPr>
          <w:lang w:val="en-GB" w:eastAsia="zh-TW"/>
        </w:rPr>
        <w:t>.</w:t>
      </w:r>
      <w:r>
        <w:rPr>
          <w:lang w:val="en-GB" w:eastAsia="zh-TW"/>
        </w:rPr>
        <w:t xml:space="preserve"> </w:t>
      </w:r>
      <w:r w:rsidR="00141CA9">
        <w:rPr>
          <w:lang w:val="en-GB" w:eastAsia="zh-TW"/>
        </w:rPr>
        <w:t>The developer is not shown t</w:t>
      </w:r>
      <w:r w:rsidR="00737F54">
        <w:rPr>
          <w:lang w:val="en-GB" w:eastAsia="zh-TW"/>
        </w:rPr>
        <w:t xml:space="preserve">he inputs, </w:t>
      </w:r>
      <w:r w:rsidR="00782AF1">
        <w:rPr>
          <w:lang w:val="en-GB" w:eastAsia="zh-TW"/>
        </w:rPr>
        <w:t>(</w:t>
      </w:r>
      <w:r w:rsidR="00737F54">
        <w:rPr>
          <w:lang w:val="en-GB" w:eastAsia="zh-TW"/>
        </w:rPr>
        <w:t>like the GFA</w:t>
      </w:r>
      <w:r w:rsidR="00403780">
        <w:rPr>
          <w:lang w:val="en-GB" w:eastAsia="zh-TW"/>
        </w:rPr>
        <w:t>,</w:t>
      </w:r>
      <w:r w:rsidR="00737F54">
        <w:rPr>
          <w:lang w:val="en-GB" w:eastAsia="zh-TW"/>
        </w:rPr>
        <w:t xml:space="preserve"> </w:t>
      </w:r>
      <w:r w:rsidR="00737F54" w:rsidRPr="002A69D4">
        <w:rPr>
          <w:lang w:val="en-GB" w:eastAsia="zh-TW"/>
        </w:rPr>
        <w:t>ISA</w:t>
      </w:r>
      <w:r w:rsidR="00737F54">
        <w:rPr>
          <w:lang w:val="en-GB" w:eastAsia="zh-TW"/>
        </w:rPr>
        <w:t xml:space="preserve"> or estim</w:t>
      </w:r>
      <w:r w:rsidR="00782AF1">
        <w:rPr>
          <w:lang w:val="en-GB" w:eastAsia="zh-TW"/>
        </w:rPr>
        <w:t>ated water usage)</w:t>
      </w:r>
      <w:r w:rsidR="003E390E">
        <w:rPr>
          <w:lang w:val="en-GB" w:eastAsia="zh-TW"/>
        </w:rPr>
        <w:t xml:space="preserve"> </w:t>
      </w:r>
      <w:r w:rsidR="008A67D5">
        <w:rPr>
          <w:lang w:val="en-GB" w:eastAsia="zh-TW"/>
        </w:rPr>
        <w:t xml:space="preserve">used in these </w:t>
      </w:r>
      <w:r w:rsidR="00782AF1">
        <w:rPr>
          <w:lang w:val="en-GB" w:eastAsia="zh-TW"/>
        </w:rPr>
        <w:t>calculations</w:t>
      </w:r>
      <w:r w:rsidR="00CC618F">
        <w:rPr>
          <w:lang w:val="en-GB" w:eastAsia="zh-TW"/>
        </w:rPr>
        <w:t xml:space="preserve">. </w:t>
      </w:r>
    </w:p>
    <w:p w14:paraId="13E16EBC" w14:textId="2719ED58" w:rsidR="003453E8" w:rsidRDefault="00AE71D7" w:rsidP="00471B97">
      <w:pPr>
        <w:spacing w:after="240"/>
        <w:rPr>
          <w:lang w:val="en-GB" w:eastAsia="zh-TW"/>
        </w:rPr>
      </w:pPr>
      <w:r>
        <w:rPr>
          <w:lang w:val="en-GB" w:eastAsia="zh-TW"/>
        </w:rPr>
        <w:t>The l</w:t>
      </w:r>
      <w:r w:rsidR="003E390E">
        <w:rPr>
          <w:lang w:val="en-GB" w:eastAsia="zh-TW"/>
        </w:rPr>
        <w:t xml:space="preserve">ack of transparency in these calculations creates barriers for developers to cross check and confirm the accuracy </w:t>
      </w:r>
      <w:r w:rsidR="00CD7165">
        <w:rPr>
          <w:lang w:val="en-GB" w:eastAsia="zh-TW"/>
        </w:rPr>
        <w:t xml:space="preserve">of </w:t>
      </w:r>
      <w:r>
        <w:rPr>
          <w:lang w:val="en-GB" w:eastAsia="zh-TW"/>
        </w:rPr>
        <w:t xml:space="preserve">the </w:t>
      </w:r>
      <w:r w:rsidR="00CD7165">
        <w:rPr>
          <w:lang w:val="en-GB" w:eastAsia="zh-TW"/>
        </w:rPr>
        <w:t>DC</w:t>
      </w:r>
      <w:r w:rsidR="003E390E">
        <w:rPr>
          <w:lang w:val="en-GB" w:eastAsia="zh-TW"/>
        </w:rPr>
        <w:t xml:space="preserve"> charges. Consi</w:t>
      </w:r>
      <w:r>
        <w:rPr>
          <w:lang w:val="en-GB" w:eastAsia="zh-TW"/>
        </w:rPr>
        <w:t xml:space="preserve">dering the short, </w:t>
      </w:r>
      <w:proofErr w:type="gramStart"/>
      <w:r>
        <w:rPr>
          <w:lang w:val="en-GB" w:eastAsia="zh-TW"/>
        </w:rPr>
        <w:t>ten</w:t>
      </w:r>
      <w:r w:rsidR="003E390E">
        <w:rPr>
          <w:lang w:val="en-GB" w:eastAsia="zh-TW"/>
        </w:rPr>
        <w:t xml:space="preserve"> day</w:t>
      </w:r>
      <w:proofErr w:type="gramEnd"/>
      <w:r w:rsidR="003E390E">
        <w:rPr>
          <w:lang w:val="en-GB" w:eastAsia="zh-TW"/>
        </w:rPr>
        <w:t xml:space="preserve"> window </w:t>
      </w:r>
      <w:r w:rsidR="00CD7165">
        <w:rPr>
          <w:lang w:val="en-GB" w:eastAsia="zh-TW"/>
        </w:rPr>
        <w:t xml:space="preserve">given to developers to request a reconsideration, </w:t>
      </w:r>
      <w:r w:rsidR="00AF0548">
        <w:rPr>
          <w:lang w:val="en-GB" w:eastAsia="zh-TW"/>
        </w:rPr>
        <w:t>this system puts develope</w:t>
      </w:r>
      <w:r>
        <w:rPr>
          <w:lang w:val="en-GB" w:eastAsia="zh-TW"/>
        </w:rPr>
        <w:t>rs in a disadvantaged position. This is p</w:t>
      </w:r>
      <w:r w:rsidR="003453E8">
        <w:rPr>
          <w:lang w:val="en-GB" w:eastAsia="zh-TW"/>
        </w:rPr>
        <w:t>articularly</w:t>
      </w:r>
      <w:r>
        <w:rPr>
          <w:lang w:val="en-GB" w:eastAsia="zh-TW"/>
        </w:rPr>
        <w:t xml:space="preserve"> the case</w:t>
      </w:r>
      <w:r w:rsidR="003453E8">
        <w:rPr>
          <w:lang w:val="en-GB" w:eastAsia="zh-TW"/>
        </w:rPr>
        <w:t xml:space="preserve"> for smaller developers who have not had extensive </w:t>
      </w:r>
      <w:r>
        <w:rPr>
          <w:lang w:val="en-GB" w:eastAsia="zh-TW"/>
        </w:rPr>
        <w:t>past experience with DC charges. I</w:t>
      </w:r>
      <w:r w:rsidR="00101418">
        <w:rPr>
          <w:lang w:val="en-GB" w:eastAsia="zh-TW"/>
        </w:rPr>
        <w:t xml:space="preserve">t would require significant </w:t>
      </w:r>
      <w:r w:rsidR="003453E8">
        <w:rPr>
          <w:lang w:val="en-GB" w:eastAsia="zh-TW"/>
        </w:rPr>
        <w:t xml:space="preserve">time and resources </w:t>
      </w:r>
      <w:r w:rsidR="00101418">
        <w:rPr>
          <w:lang w:val="en-GB" w:eastAsia="zh-TW"/>
        </w:rPr>
        <w:t>to:</w:t>
      </w:r>
    </w:p>
    <w:p w14:paraId="10157EA4" w14:textId="144F5C98" w:rsidR="00737F54" w:rsidRDefault="003453E8" w:rsidP="00471B97">
      <w:pPr>
        <w:pStyle w:val="ListParagraph"/>
        <w:numPr>
          <w:ilvl w:val="0"/>
          <w:numId w:val="19"/>
        </w:numPr>
        <w:spacing w:after="120" w:line="276" w:lineRule="auto"/>
        <w:ind w:left="714" w:hanging="357"/>
        <w:contextualSpacing w:val="0"/>
        <w:rPr>
          <w:lang w:val="en-GB" w:eastAsia="zh-TW"/>
        </w:rPr>
      </w:pPr>
      <w:r w:rsidRPr="003453E8">
        <w:rPr>
          <w:lang w:val="en-GB" w:eastAsia="zh-TW"/>
        </w:rPr>
        <w:t xml:space="preserve">understand the </w:t>
      </w:r>
      <w:r>
        <w:rPr>
          <w:lang w:val="en-GB" w:eastAsia="zh-TW"/>
        </w:rPr>
        <w:t>workings of the given council’s DC policy</w:t>
      </w:r>
      <w:r w:rsidR="00D632D0">
        <w:rPr>
          <w:lang w:val="en-GB" w:eastAsia="zh-TW"/>
        </w:rPr>
        <w:t>;</w:t>
      </w:r>
    </w:p>
    <w:p w14:paraId="3A3AC315" w14:textId="43012F7D" w:rsidR="003453E8" w:rsidRDefault="00D632D0" w:rsidP="00154698">
      <w:pPr>
        <w:pStyle w:val="ListParagraph"/>
        <w:numPr>
          <w:ilvl w:val="0"/>
          <w:numId w:val="19"/>
        </w:numPr>
        <w:spacing w:after="120" w:line="276" w:lineRule="auto"/>
        <w:ind w:left="714" w:hanging="357"/>
        <w:contextualSpacing w:val="0"/>
        <w:rPr>
          <w:lang w:val="en-GB" w:eastAsia="zh-TW"/>
        </w:rPr>
      </w:pPr>
      <w:r>
        <w:rPr>
          <w:lang w:val="en-GB" w:eastAsia="zh-TW"/>
        </w:rPr>
        <w:t xml:space="preserve">input their </w:t>
      </w:r>
      <w:r w:rsidR="00101418">
        <w:rPr>
          <w:lang w:val="en-GB" w:eastAsia="zh-TW"/>
        </w:rPr>
        <w:t xml:space="preserve">own </w:t>
      </w:r>
      <w:r>
        <w:rPr>
          <w:lang w:val="en-GB" w:eastAsia="zh-TW"/>
        </w:rPr>
        <w:t>specific development’s characteristics into the council’s methodology;</w:t>
      </w:r>
      <w:r w:rsidR="00AE71D7">
        <w:rPr>
          <w:lang w:val="en-GB" w:eastAsia="zh-TW"/>
        </w:rPr>
        <w:t xml:space="preserve"> and</w:t>
      </w:r>
    </w:p>
    <w:p w14:paraId="226B50FC" w14:textId="61928ECF" w:rsidR="002A1B4C" w:rsidRPr="002A1B4C" w:rsidRDefault="00343B2B" w:rsidP="00471B97">
      <w:pPr>
        <w:pStyle w:val="ListParagraph"/>
        <w:numPr>
          <w:ilvl w:val="0"/>
          <w:numId w:val="19"/>
        </w:numPr>
        <w:spacing w:after="240"/>
        <w:ind w:left="714" w:hanging="357"/>
        <w:contextualSpacing w:val="0"/>
        <w:rPr>
          <w:lang w:val="en-GB" w:eastAsia="zh-TW"/>
        </w:rPr>
      </w:pPr>
      <w:r>
        <w:rPr>
          <w:lang w:val="en-GB" w:eastAsia="zh-TW"/>
        </w:rPr>
        <w:t>reconcile their calculations with the council</w:t>
      </w:r>
      <w:r w:rsidR="008115CF">
        <w:rPr>
          <w:lang w:val="en-GB" w:eastAsia="zh-TW"/>
        </w:rPr>
        <w:t>’</w:t>
      </w:r>
      <w:r>
        <w:rPr>
          <w:lang w:val="en-GB" w:eastAsia="zh-TW"/>
        </w:rPr>
        <w:t xml:space="preserve">s charges </w:t>
      </w:r>
      <w:r w:rsidR="00AE71D7">
        <w:rPr>
          <w:lang w:val="en-GB" w:eastAsia="zh-TW"/>
        </w:rPr>
        <w:t>and pinpoint</w:t>
      </w:r>
      <w:r w:rsidR="008115CF">
        <w:rPr>
          <w:lang w:val="en-GB" w:eastAsia="zh-TW"/>
        </w:rPr>
        <w:t xml:space="preserve"> where in the calculation errors may have occurred.</w:t>
      </w:r>
    </w:p>
    <w:p w14:paraId="6BABD3DC" w14:textId="6880284A" w:rsidR="0082174A" w:rsidRPr="00CD4CE9" w:rsidRDefault="00BE6573" w:rsidP="00CD4CE9">
      <w:pPr>
        <w:spacing w:after="160"/>
        <w:rPr>
          <w:lang w:val="en-GB" w:eastAsia="zh-TW"/>
        </w:rPr>
      </w:pPr>
      <w:r>
        <w:rPr>
          <w:lang w:val="en-GB" w:eastAsia="zh-TW"/>
        </w:rPr>
        <w:t>CCC is an example of a council that provides minimal supporti</w:t>
      </w:r>
      <w:r w:rsidR="00AE71D7">
        <w:rPr>
          <w:lang w:val="en-GB" w:eastAsia="zh-TW"/>
        </w:rPr>
        <w:t>ng detail in its DC assessments. H</w:t>
      </w:r>
      <w:r>
        <w:rPr>
          <w:lang w:val="en-GB" w:eastAsia="zh-TW"/>
        </w:rPr>
        <w:t>owever</w:t>
      </w:r>
      <w:r w:rsidR="008C35EB">
        <w:rPr>
          <w:lang w:val="en-GB" w:eastAsia="zh-TW"/>
        </w:rPr>
        <w:t>,</w:t>
      </w:r>
      <w:r>
        <w:rPr>
          <w:lang w:val="en-GB" w:eastAsia="zh-TW"/>
        </w:rPr>
        <w:t xml:space="preserve"> </w:t>
      </w:r>
      <w:r w:rsidR="005D3997">
        <w:rPr>
          <w:lang w:val="en-GB" w:eastAsia="zh-TW"/>
        </w:rPr>
        <w:t xml:space="preserve">some </w:t>
      </w:r>
      <w:r>
        <w:rPr>
          <w:lang w:val="en-GB" w:eastAsia="zh-TW"/>
        </w:rPr>
        <w:t xml:space="preserve">other authorities </w:t>
      </w:r>
      <w:r w:rsidR="005D3997">
        <w:rPr>
          <w:lang w:val="en-GB" w:eastAsia="zh-TW"/>
        </w:rPr>
        <w:t>(</w:t>
      </w:r>
      <w:r>
        <w:rPr>
          <w:lang w:val="en-GB" w:eastAsia="zh-TW"/>
        </w:rPr>
        <w:t>including neighbouring Selwyn District Council for example</w:t>
      </w:r>
      <w:r w:rsidR="005D3997">
        <w:rPr>
          <w:lang w:val="en-GB" w:eastAsia="zh-TW"/>
        </w:rPr>
        <w:t>)</w:t>
      </w:r>
      <w:r w:rsidR="00FF7A29">
        <w:rPr>
          <w:lang w:val="en-GB" w:eastAsia="zh-TW"/>
        </w:rPr>
        <w:t xml:space="preserve"> do provide more detail. </w:t>
      </w:r>
      <w:r w:rsidR="00F97E65">
        <w:rPr>
          <w:lang w:val="en-GB" w:eastAsia="zh-TW"/>
        </w:rPr>
        <w:t xml:space="preserve">Figure </w:t>
      </w:r>
      <w:r w:rsidR="00242416">
        <w:rPr>
          <w:lang w:val="en-GB" w:eastAsia="zh-TW"/>
        </w:rPr>
        <w:t>6</w:t>
      </w:r>
      <w:r w:rsidR="004C6608">
        <w:rPr>
          <w:lang w:val="en-GB" w:eastAsia="zh-TW"/>
        </w:rPr>
        <w:t xml:space="preserve"> below provides an example of a DC assessment from Selwyn District Council. </w:t>
      </w:r>
    </w:p>
    <w:p w14:paraId="4C12F0CA" w14:textId="77777777" w:rsidR="002D17DC" w:rsidRDefault="002D17DC" w:rsidP="00B22236">
      <w:pPr>
        <w:pStyle w:val="Caption"/>
      </w:pPr>
    </w:p>
    <w:p w14:paraId="2490A497" w14:textId="6B70B5AB" w:rsidR="002D17DC" w:rsidRDefault="002D17DC" w:rsidP="00B22236">
      <w:pPr>
        <w:pStyle w:val="Caption"/>
      </w:pPr>
    </w:p>
    <w:p w14:paraId="3A0E6F55" w14:textId="77777777" w:rsidR="00451051" w:rsidRDefault="00451051">
      <w:pPr>
        <w:rPr>
          <w:b/>
          <w:bCs/>
          <w:color w:val="193972"/>
        </w:rPr>
      </w:pPr>
      <w:r>
        <w:br w:type="page"/>
      </w:r>
    </w:p>
    <w:p w14:paraId="598DC1AB" w14:textId="58E3935C" w:rsidR="00B22236" w:rsidRPr="00B22236" w:rsidRDefault="00B22236" w:rsidP="00B22236">
      <w:pPr>
        <w:pStyle w:val="Caption"/>
      </w:pPr>
      <w:bookmarkStart w:id="35" w:name="_Toc533411220"/>
      <w:r>
        <w:lastRenderedPageBreak/>
        <w:t xml:space="preserve">Figure </w:t>
      </w:r>
      <w:r w:rsidR="00973951">
        <w:rPr>
          <w:noProof/>
        </w:rPr>
        <w:fldChar w:fldCharType="begin"/>
      </w:r>
      <w:r w:rsidR="00973951">
        <w:rPr>
          <w:noProof/>
        </w:rPr>
        <w:instrText xml:space="preserve"> SEQ Figure \* ARABIC </w:instrText>
      </w:r>
      <w:r w:rsidR="00973951">
        <w:rPr>
          <w:noProof/>
        </w:rPr>
        <w:fldChar w:fldCharType="separate"/>
      </w:r>
      <w:r w:rsidR="0034416C">
        <w:rPr>
          <w:noProof/>
        </w:rPr>
        <w:t>6</w:t>
      </w:r>
      <w:r w:rsidR="00973951">
        <w:rPr>
          <w:noProof/>
        </w:rPr>
        <w:fldChar w:fldCharType="end"/>
      </w:r>
      <w:r>
        <w:t>: Assessment example from Selwyn District Council</w:t>
      </w:r>
      <w:bookmarkEnd w:id="35"/>
    </w:p>
    <w:p w14:paraId="208C7C61" w14:textId="0792EBE2" w:rsidR="008115CF" w:rsidRPr="008115CF" w:rsidRDefault="002A05FE" w:rsidP="008115CF">
      <w:pPr>
        <w:rPr>
          <w:lang w:val="en-GB" w:eastAsia="zh-TW"/>
        </w:rPr>
      </w:pPr>
      <w:r>
        <w:rPr>
          <w:noProof/>
          <w:lang w:val="en-GB" w:eastAsia="zh-TW"/>
        </w:rPr>
        <w:drawing>
          <wp:inline distT="0" distB="0" distL="0" distR="0" wp14:anchorId="2A6FDFA5" wp14:editId="76987A9A">
            <wp:extent cx="5148775" cy="35852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11-21 at 12.11.40 PM.png"/>
                    <pic:cNvPicPr/>
                  </pic:nvPicPr>
                  <pic:blipFill>
                    <a:blip r:embed="rId33"/>
                    <a:stretch>
                      <a:fillRect/>
                    </a:stretch>
                  </pic:blipFill>
                  <pic:spPr>
                    <a:xfrm>
                      <a:off x="0" y="0"/>
                      <a:ext cx="5153663" cy="3588608"/>
                    </a:xfrm>
                    <a:prstGeom prst="rect">
                      <a:avLst/>
                    </a:prstGeom>
                  </pic:spPr>
                </pic:pic>
              </a:graphicData>
            </a:graphic>
          </wp:inline>
        </w:drawing>
      </w:r>
    </w:p>
    <w:p w14:paraId="4C60C7B1" w14:textId="1B8A0B4F" w:rsidR="005E43F7" w:rsidRDefault="007F062B" w:rsidP="008115CF">
      <w:pPr>
        <w:rPr>
          <w:lang w:val="en-GB" w:eastAsia="zh-TW"/>
        </w:rPr>
      </w:pPr>
      <w:r>
        <w:rPr>
          <w:lang w:val="en-GB" w:eastAsia="zh-TW"/>
        </w:rPr>
        <w:t>Columns on the left</w:t>
      </w:r>
      <w:r w:rsidR="0082174A">
        <w:rPr>
          <w:lang w:val="en-GB" w:eastAsia="zh-TW"/>
        </w:rPr>
        <w:t>-</w:t>
      </w:r>
      <w:r>
        <w:rPr>
          <w:lang w:val="en-GB" w:eastAsia="zh-TW"/>
        </w:rPr>
        <w:t>hand side of the</w:t>
      </w:r>
      <w:r w:rsidR="004C6608">
        <w:rPr>
          <w:lang w:val="en-GB" w:eastAsia="zh-TW"/>
        </w:rPr>
        <w:t xml:space="preserve"> assessmen</w:t>
      </w:r>
      <w:r w:rsidR="00D9436C">
        <w:rPr>
          <w:lang w:val="en-GB" w:eastAsia="zh-TW"/>
        </w:rPr>
        <w:t>t provide the developer with information on the</w:t>
      </w:r>
      <w:r w:rsidR="00AE71D7">
        <w:rPr>
          <w:lang w:val="en-GB" w:eastAsia="zh-TW"/>
        </w:rPr>
        <w:t xml:space="preserve"> </w:t>
      </w:r>
      <w:r>
        <w:rPr>
          <w:lang w:val="en-GB" w:eastAsia="zh-TW"/>
        </w:rPr>
        <w:t>characteristics of the development that were used to calculate the DC charges, including GFA</w:t>
      </w:r>
      <w:r w:rsidR="004C6608">
        <w:rPr>
          <w:lang w:val="en-GB" w:eastAsia="zh-TW"/>
        </w:rPr>
        <w:t xml:space="preserve"> and estimated </w:t>
      </w:r>
      <w:r>
        <w:rPr>
          <w:lang w:val="en-GB" w:eastAsia="zh-TW"/>
        </w:rPr>
        <w:t xml:space="preserve">water usage. </w:t>
      </w:r>
      <w:r w:rsidR="004C6608">
        <w:rPr>
          <w:lang w:val="en-GB" w:eastAsia="zh-TW"/>
        </w:rPr>
        <w:t xml:space="preserve"> </w:t>
      </w:r>
    </w:p>
    <w:p w14:paraId="5DB3168F" w14:textId="6D6B57A6" w:rsidR="00217A8C" w:rsidRDefault="005E43F7" w:rsidP="008115CF">
      <w:pPr>
        <w:rPr>
          <w:lang w:val="en-GB" w:eastAsia="zh-TW"/>
        </w:rPr>
      </w:pPr>
      <w:r>
        <w:rPr>
          <w:lang w:val="en-GB" w:eastAsia="zh-TW"/>
        </w:rPr>
        <w:t>We note that this assessment provide</w:t>
      </w:r>
      <w:r w:rsidR="000410E7">
        <w:rPr>
          <w:lang w:val="en-GB" w:eastAsia="zh-TW"/>
        </w:rPr>
        <w:t>s</w:t>
      </w:r>
      <w:r>
        <w:rPr>
          <w:lang w:val="en-GB" w:eastAsia="zh-TW"/>
        </w:rPr>
        <w:t xml:space="preserve"> information on specific inputs into the DC calculations, including the GFA used </w:t>
      </w:r>
      <w:r w:rsidR="000410E7">
        <w:rPr>
          <w:lang w:val="en-GB" w:eastAsia="zh-TW"/>
        </w:rPr>
        <w:t xml:space="preserve">to calculate transport contributions and the litres / day of water that apply to the water and wastewater contributions. </w:t>
      </w:r>
      <w:r w:rsidR="00154260">
        <w:rPr>
          <w:lang w:val="en-GB" w:eastAsia="zh-TW"/>
        </w:rPr>
        <w:t xml:space="preserve">In comparison to the Christchurch example, the developer has more clarity on </w:t>
      </w:r>
      <w:r w:rsidR="00ED53FC">
        <w:rPr>
          <w:lang w:val="en-GB" w:eastAsia="zh-TW"/>
        </w:rPr>
        <w:t>some of the basis for chargin</w:t>
      </w:r>
      <w:r w:rsidR="00C25FC7">
        <w:rPr>
          <w:lang w:val="en-GB" w:eastAsia="zh-TW"/>
        </w:rPr>
        <w:t xml:space="preserve">g. </w:t>
      </w:r>
    </w:p>
    <w:p w14:paraId="7C5697D6" w14:textId="47E76009" w:rsidR="00255D92" w:rsidRDefault="00C25FC7" w:rsidP="00D466FD">
      <w:pPr>
        <w:rPr>
          <w:lang w:val="en-GB" w:eastAsia="zh-TW"/>
        </w:rPr>
      </w:pPr>
      <w:r>
        <w:rPr>
          <w:lang w:val="en-GB" w:eastAsia="zh-TW"/>
        </w:rPr>
        <w:t xml:space="preserve">If the developer wanted to further understand what they are paying for in the $8,056.00 per HUE charge for wastewater however, it would have to undertake a deep dive into Selwyn District Council’s DC policy and </w:t>
      </w:r>
      <w:proofErr w:type="gramStart"/>
      <w:r>
        <w:rPr>
          <w:lang w:val="en-GB" w:eastAsia="zh-TW"/>
        </w:rPr>
        <w:t>Long Term</w:t>
      </w:r>
      <w:proofErr w:type="gramEnd"/>
      <w:r>
        <w:rPr>
          <w:lang w:val="en-GB" w:eastAsia="zh-TW"/>
        </w:rPr>
        <w:t xml:space="preserve"> Plan. This assessment gives no details on the particular stormwater project, where it is located or how it relates to this development. </w:t>
      </w:r>
      <w:r w:rsidR="00BB5B80">
        <w:rPr>
          <w:lang w:val="en-GB" w:eastAsia="zh-TW"/>
        </w:rPr>
        <w:t>Considering these contributions have been calculated based on the impact of this development on each category of council infrastructure, more accompanying detail on how these charges relate to infrastructure costs does not seem impossible</w:t>
      </w:r>
      <w:r w:rsidR="00AE71D7">
        <w:rPr>
          <w:lang w:val="en-GB" w:eastAsia="zh-TW"/>
        </w:rPr>
        <w:t xml:space="preserve"> especially for an invoice of $119,600</w:t>
      </w:r>
      <w:r w:rsidR="00BB5B80">
        <w:rPr>
          <w:lang w:val="en-GB" w:eastAsia="zh-TW"/>
        </w:rPr>
        <w:t xml:space="preserve">. </w:t>
      </w:r>
      <w:r>
        <w:rPr>
          <w:lang w:val="en-GB" w:eastAsia="zh-TW"/>
        </w:rPr>
        <w:t>In this regard, while Selwyn’s DC assessment is more detailed than CCC, there is still a lack of transparency that impedes developer confidence that thei</w:t>
      </w:r>
      <w:r w:rsidR="0055400D">
        <w:rPr>
          <w:lang w:val="en-GB" w:eastAsia="zh-TW"/>
        </w:rPr>
        <w:t xml:space="preserve">r contributions are being appropriately calculated and spent. </w:t>
      </w:r>
    </w:p>
    <w:p w14:paraId="21595A72" w14:textId="4E3D3347" w:rsidR="00CD4CE9" w:rsidRDefault="00AE71D7" w:rsidP="00D466FD">
      <w:pPr>
        <w:rPr>
          <w:lang w:val="en-GB" w:eastAsia="zh-TW"/>
        </w:rPr>
      </w:pPr>
      <w:r>
        <w:rPr>
          <w:lang w:val="en-GB" w:eastAsia="zh-TW"/>
        </w:rPr>
        <w:t>Developers can (under section 106(</w:t>
      </w:r>
      <w:r w:rsidR="00794D7E">
        <w:rPr>
          <w:lang w:val="en-GB" w:eastAsia="zh-TW"/>
        </w:rPr>
        <w:t>3</w:t>
      </w:r>
      <w:r>
        <w:rPr>
          <w:lang w:val="en-GB" w:eastAsia="zh-TW"/>
        </w:rPr>
        <w:t>)</w:t>
      </w:r>
      <w:r w:rsidR="00794D7E">
        <w:rPr>
          <w:lang w:val="en-GB" w:eastAsia="zh-TW"/>
        </w:rPr>
        <w:t xml:space="preserve"> of the LGA), request to view the full methodology that </w:t>
      </w:r>
      <w:r w:rsidR="00DC24D5">
        <w:rPr>
          <w:lang w:val="en-GB" w:eastAsia="zh-TW"/>
        </w:rPr>
        <w:t xml:space="preserve">demonstrates how the calculations for </w:t>
      </w:r>
      <w:r w:rsidR="00191A22">
        <w:rPr>
          <w:lang w:val="en-GB" w:eastAsia="zh-TW"/>
        </w:rPr>
        <w:t xml:space="preserve">their contributions were made. </w:t>
      </w:r>
      <w:r w:rsidR="00CF313E">
        <w:rPr>
          <w:lang w:val="en-GB" w:eastAsia="zh-TW"/>
        </w:rPr>
        <w:t>However</w:t>
      </w:r>
      <w:r w:rsidR="00CC0FF1">
        <w:rPr>
          <w:lang w:val="en-GB" w:eastAsia="zh-TW"/>
        </w:rPr>
        <w:t>,</w:t>
      </w:r>
      <w:r w:rsidR="00CF313E">
        <w:rPr>
          <w:lang w:val="en-GB" w:eastAsia="zh-TW"/>
        </w:rPr>
        <w:t xml:space="preserve"> Foodstuffs</w:t>
      </w:r>
      <w:r>
        <w:rPr>
          <w:lang w:val="en-GB" w:eastAsia="zh-TW"/>
        </w:rPr>
        <w:t>’ property development managers</w:t>
      </w:r>
      <w:r w:rsidR="00CF313E">
        <w:rPr>
          <w:lang w:val="en-GB" w:eastAsia="zh-TW"/>
        </w:rPr>
        <w:t xml:space="preserve"> have found</w:t>
      </w:r>
      <w:r w:rsidR="00620378">
        <w:rPr>
          <w:lang w:val="en-GB" w:eastAsia="zh-TW"/>
        </w:rPr>
        <w:t xml:space="preserve"> that the responsiveness to such a request is highly variable between councils. </w:t>
      </w:r>
      <w:r w:rsidR="00611811">
        <w:rPr>
          <w:lang w:val="en-GB" w:eastAsia="zh-TW"/>
        </w:rPr>
        <w:t xml:space="preserve">Developers have found that delays in successfully </w:t>
      </w:r>
      <w:proofErr w:type="gramStart"/>
      <w:r w:rsidR="00611811">
        <w:rPr>
          <w:lang w:val="en-GB" w:eastAsia="zh-TW"/>
        </w:rPr>
        <w:t xml:space="preserve">making </w:t>
      </w:r>
      <w:r>
        <w:rPr>
          <w:lang w:val="en-GB" w:eastAsia="zh-TW"/>
        </w:rPr>
        <w:t>contact with</w:t>
      </w:r>
      <w:proofErr w:type="gramEnd"/>
      <w:r>
        <w:rPr>
          <w:lang w:val="en-GB" w:eastAsia="zh-TW"/>
        </w:rPr>
        <w:t xml:space="preserve"> the correct person</w:t>
      </w:r>
      <w:r w:rsidR="00611811">
        <w:rPr>
          <w:lang w:val="en-GB" w:eastAsia="zh-TW"/>
        </w:rPr>
        <w:t xml:space="preserve"> combined wit</w:t>
      </w:r>
      <w:r w:rsidR="00C5064B">
        <w:rPr>
          <w:lang w:val="en-GB" w:eastAsia="zh-TW"/>
        </w:rPr>
        <w:t>h the process require</w:t>
      </w:r>
      <w:r>
        <w:rPr>
          <w:lang w:val="en-GB" w:eastAsia="zh-TW"/>
        </w:rPr>
        <w:t>d</w:t>
      </w:r>
      <w:r w:rsidR="00C5064B">
        <w:rPr>
          <w:lang w:val="en-GB" w:eastAsia="zh-TW"/>
        </w:rPr>
        <w:t xml:space="preserve"> to get the calculations, </w:t>
      </w:r>
      <w:r w:rsidR="002A69D4">
        <w:rPr>
          <w:lang w:val="en-GB" w:eastAsia="zh-TW"/>
        </w:rPr>
        <w:t>make it</w:t>
      </w:r>
      <w:r w:rsidR="00C5064B">
        <w:rPr>
          <w:lang w:val="en-GB" w:eastAsia="zh-TW"/>
        </w:rPr>
        <w:t xml:space="preserve"> not possible to properly engage with these calculations within the 10</w:t>
      </w:r>
      <w:r w:rsidR="00154698">
        <w:rPr>
          <w:lang w:val="en-GB" w:eastAsia="zh-TW"/>
        </w:rPr>
        <w:t>-</w:t>
      </w:r>
      <w:r w:rsidR="00C5064B">
        <w:rPr>
          <w:lang w:val="en-GB" w:eastAsia="zh-TW"/>
        </w:rPr>
        <w:t>day reconsideration period</w:t>
      </w:r>
      <w:r w:rsidR="00D84F76">
        <w:rPr>
          <w:lang w:val="en-GB" w:eastAsia="zh-TW"/>
        </w:rPr>
        <w:t xml:space="preserve"> provided for in the Act</w:t>
      </w:r>
      <w:r w:rsidR="00CD4CE9">
        <w:rPr>
          <w:lang w:val="en-GB" w:eastAsia="zh-TW"/>
        </w:rPr>
        <w:t>.</w:t>
      </w:r>
    </w:p>
    <w:p w14:paraId="04710644" w14:textId="40732419" w:rsidR="001834AF" w:rsidRDefault="001834AF" w:rsidP="001834AF">
      <w:pPr>
        <w:pStyle w:val="Heading3"/>
        <w:rPr>
          <w:lang w:val="en-GB" w:eastAsia="zh-TW"/>
        </w:rPr>
      </w:pPr>
      <w:r>
        <w:rPr>
          <w:lang w:val="en-GB" w:eastAsia="zh-TW"/>
        </w:rPr>
        <w:t>Lack of transparency in DC usage</w:t>
      </w:r>
    </w:p>
    <w:p w14:paraId="28E2A1FA" w14:textId="1AEC4A7D" w:rsidR="00AC02ED" w:rsidRDefault="00BE2E9A" w:rsidP="001834AF">
      <w:pPr>
        <w:rPr>
          <w:lang w:val="en-GB" w:eastAsia="zh-TW"/>
        </w:rPr>
      </w:pPr>
      <w:r>
        <w:rPr>
          <w:lang w:val="en-GB" w:eastAsia="zh-TW"/>
        </w:rPr>
        <w:t>Finally, in this section is the</w:t>
      </w:r>
      <w:r w:rsidR="008470EA">
        <w:rPr>
          <w:lang w:val="en-GB" w:eastAsia="zh-TW"/>
        </w:rPr>
        <w:t xml:space="preserve"> issue </w:t>
      </w:r>
      <w:r>
        <w:rPr>
          <w:lang w:val="en-GB" w:eastAsia="zh-TW"/>
        </w:rPr>
        <w:t>of</w:t>
      </w:r>
      <w:r w:rsidR="008470EA">
        <w:rPr>
          <w:lang w:val="en-GB" w:eastAsia="zh-TW"/>
        </w:rPr>
        <w:t xml:space="preserve"> lack of transparency in </w:t>
      </w:r>
      <w:r>
        <w:rPr>
          <w:lang w:val="en-GB" w:eastAsia="zh-TW"/>
        </w:rPr>
        <w:t xml:space="preserve">local </w:t>
      </w:r>
      <w:r w:rsidR="008470EA">
        <w:rPr>
          <w:lang w:val="en-GB" w:eastAsia="zh-TW"/>
        </w:rPr>
        <w:t xml:space="preserve">council usage of DC funds. </w:t>
      </w:r>
      <w:r w:rsidR="00BF5E59">
        <w:rPr>
          <w:lang w:val="en-GB" w:eastAsia="zh-TW"/>
        </w:rPr>
        <w:t>Our</w:t>
      </w:r>
      <w:r w:rsidR="006B2762">
        <w:rPr>
          <w:lang w:val="en-GB" w:eastAsia="zh-TW"/>
        </w:rPr>
        <w:t xml:space="preserve"> discussions with developers ha</w:t>
      </w:r>
      <w:r w:rsidR="00A22B21">
        <w:rPr>
          <w:lang w:val="en-GB" w:eastAsia="zh-TW"/>
        </w:rPr>
        <w:t>ve</w:t>
      </w:r>
      <w:r w:rsidR="006B2762">
        <w:rPr>
          <w:lang w:val="en-GB" w:eastAsia="zh-TW"/>
        </w:rPr>
        <w:t xml:space="preserve"> revealed that part of the frustration that is felt with the current system is based on </w:t>
      </w:r>
      <w:r w:rsidR="006B2762">
        <w:rPr>
          <w:lang w:val="en-GB" w:eastAsia="zh-TW"/>
        </w:rPr>
        <w:lastRenderedPageBreak/>
        <w:t xml:space="preserve">the fact that developers do not feel assured that their DC payments are being used for the purpose they were collected. </w:t>
      </w:r>
      <w:r w:rsidR="000C3493">
        <w:rPr>
          <w:lang w:val="en-GB" w:eastAsia="zh-TW"/>
        </w:rPr>
        <w:t xml:space="preserve">Once a DC assessment is paid, developers currently have no </w:t>
      </w:r>
      <w:r w:rsidR="00395AEC">
        <w:rPr>
          <w:lang w:val="en-GB" w:eastAsia="zh-TW"/>
        </w:rPr>
        <w:t xml:space="preserve">insight into </w:t>
      </w:r>
      <w:r w:rsidR="00AB5ECD">
        <w:rPr>
          <w:lang w:val="en-GB" w:eastAsia="zh-TW"/>
        </w:rPr>
        <w:t xml:space="preserve">how their payments are being spent </w:t>
      </w:r>
      <w:r w:rsidR="00D957F6">
        <w:rPr>
          <w:lang w:val="en-GB" w:eastAsia="zh-TW"/>
        </w:rPr>
        <w:t xml:space="preserve">and the infrastructure growth that these payments have contributed to. </w:t>
      </w:r>
    </w:p>
    <w:p w14:paraId="0E50BC72" w14:textId="1AAA527A" w:rsidR="00490BA0" w:rsidRPr="007F53A1" w:rsidRDefault="00D957F6">
      <w:pPr>
        <w:rPr>
          <w:lang w:val="en-GB" w:eastAsia="zh-TW"/>
        </w:rPr>
      </w:pPr>
      <w:r>
        <w:rPr>
          <w:lang w:val="en-GB" w:eastAsia="zh-TW"/>
        </w:rPr>
        <w:t>We acknowledge the administrative complexities involved in tracking and reporting on every dollar collected and spent by councils, however do feel that the current system lacks a</w:t>
      </w:r>
      <w:r w:rsidR="00117DE7">
        <w:rPr>
          <w:lang w:val="en-GB" w:eastAsia="zh-TW"/>
        </w:rPr>
        <w:t>n appropriate</w:t>
      </w:r>
      <w:r>
        <w:rPr>
          <w:lang w:val="en-GB" w:eastAsia="zh-TW"/>
        </w:rPr>
        <w:t xml:space="preserve"> level of transparency and accountability</w:t>
      </w:r>
      <w:r w:rsidR="00D40EEC">
        <w:rPr>
          <w:lang w:val="en-GB" w:eastAsia="zh-TW"/>
        </w:rPr>
        <w:t xml:space="preserve"> for the financial </w:t>
      </w:r>
      <w:r w:rsidR="007A7121">
        <w:rPr>
          <w:lang w:val="en-GB" w:eastAsia="zh-TW"/>
        </w:rPr>
        <w:t>costs that developers must contribute</w:t>
      </w:r>
      <w:r>
        <w:rPr>
          <w:lang w:val="en-GB" w:eastAsia="zh-TW"/>
        </w:rPr>
        <w:t>.</w:t>
      </w:r>
      <w:r w:rsidR="002E41C1">
        <w:rPr>
          <w:lang w:val="en-GB" w:eastAsia="zh-TW"/>
        </w:rPr>
        <w:t xml:space="preserve"> </w:t>
      </w:r>
    </w:p>
    <w:p w14:paraId="0567E970" w14:textId="11088130" w:rsidR="00173B02" w:rsidRPr="00173B02" w:rsidRDefault="00FF582E" w:rsidP="00FF582E">
      <w:pPr>
        <w:pStyle w:val="Heading2"/>
      </w:pPr>
      <w:bookmarkStart w:id="36" w:name="_Toc533411200"/>
      <w:r>
        <w:t>System reliability</w:t>
      </w:r>
      <w:bookmarkEnd w:id="36"/>
    </w:p>
    <w:p w14:paraId="569C660D" w14:textId="409F166C" w:rsidR="00C309DA" w:rsidRDefault="009B4A08" w:rsidP="00717722">
      <w:pPr>
        <w:spacing w:after="240"/>
        <w:rPr>
          <w:lang w:val="en-GB" w:eastAsia="zh-TW"/>
        </w:rPr>
      </w:pPr>
      <w:r>
        <w:rPr>
          <w:lang w:val="en-GB" w:eastAsia="zh-TW"/>
        </w:rPr>
        <w:t xml:space="preserve">There </w:t>
      </w:r>
      <w:r w:rsidR="00533C55">
        <w:rPr>
          <w:lang w:val="en-GB" w:eastAsia="zh-TW"/>
        </w:rPr>
        <w:t>is</w:t>
      </w:r>
      <w:r w:rsidR="00DA52CF">
        <w:rPr>
          <w:lang w:val="en-GB" w:eastAsia="zh-TW"/>
        </w:rPr>
        <w:t xml:space="preserve"> concern over the reliab</w:t>
      </w:r>
      <w:r w:rsidR="00533C55">
        <w:rPr>
          <w:lang w:val="en-GB" w:eastAsia="zh-TW"/>
        </w:rPr>
        <w:t xml:space="preserve">ility of the current DC system </w:t>
      </w:r>
      <w:r w:rsidR="00DA52CF">
        <w:rPr>
          <w:lang w:val="en-GB" w:eastAsia="zh-TW"/>
        </w:rPr>
        <w:t xml:space="preserve">and the charging mechanisms employed by each territorial authority. </w:t>
      </w:r>
      <w:r w:rsidR="00400062">
        <w:rPr>
          <w:lang w:val="en-GB" w:eastAsia="zh-TW"/>
        </w:rPr>
        <w:t>Foodstuffs has seen cases wh</w:t>
      </w:r>
      <w:r w:rsidR="00884815">
        <w:rPr>
          <w:lang w:val="en-GB" w:eastAsia="zh-TW"/>
        </w:rPr>
        <w:t xml:space="preserve">ere </w:t>
      </w:r>
      <w:r w:rsidR="00925DDC">
        <w:rPr>
          <w:lang w:val="en-GB" w:eastAsia="zh-TW"/>
        </w:rPr>
        <w:t xml:space="preserve">inaccuracies </w:t>
      </w:r>
      <w:r w:rsidR="00400062">
        <w:rPr>
          <w:lang w:val="en-GB" w:eastAsia="zh-TW"/>
        </w:rPr>
        <w:t>in both DC policies and</w:t>
      </w:r>
      <w:r>
        <w:rPr>
          <w:lang w:val="en-GB" w:eastAsia="zh-TW"/>
        </w:rPr>
        <w:t xml:space="preserve"> DC policy application</w:t>
      </w:r>
      <w:r w:rsidR="00400062">
        <w:rPr>
          <w:lang w:val="en-GB" w:eastAsia="zh-TW"/>
        </w:rPr>
        <w:t xml:space="preserve"> have led to significantly inflated/deflated charges.</w:t>
      </w:r>
      <w:r w:rsidR="00C309DA">
        <w:rPr>
          <w:lang w:val="en-GB" w:eastAsia="zh-TW"/>
        </w:rPr>
        <w:t xml:space="preserve"> Examples of this include:</w:t>
      </w:r>
    </w:p>
    <w:p w14:paraId="7CC74A95" w14:textId="5BCAF016" w:rsidR="00F06655" w:rsidRDefault="00F06655" w:rsidP="00717722">
      <w:pPr>
        <w:pStyle w:val="ListParagraph"/>
        <w:numPr>
          <w:ilvl w:val="0"/>
          <w:numId w:val="13"/>
        </w:numPr>
        <w:spacing w:after="120" w:line="276" w:lineRule="auto"/>
        <w:ind w:left="714" w:hanging="357"/>
        <w:contextualSpacing w:val="0"/>
        <w:rPr>
          <w:lang w:val="en-GB" w:eastAsia="zh-TW"/>
        </w:rPr>
      </w:pPr>
      <w:r>
        <w:rPr>
          <w:lang w:val="en-GB" w:eastAsia="zh-TW"/>
        </w:rPr>
        <w:t xml:space="preserve">typos in DC policies with </w:t>
      </w:r>
      <w:r w:rsidR="00533C55">
        <w:rPr>
          <w:lang w:val="en-GB" w:eastAsia="zh-TW"/>
        </w:rPr>
        <w:t xml:space="preserve">a </w:t>
      </w:r>
      <w:r>
        <w:rPr>
          <w:lang w:val="en-GB" w:eastAsia="zh-TW"/>
        </w:rPr>
        <w:t xml:space="preserve">significant impact on </w:t>
      </w:r>
      <w:r w:rsidR="00186038">
        <w:rPr>
          <w:lang w:val="en-GB" w:eastAsia="zh-TW"/>
        </w:rPr>
        <w:t xml:space="preserve">final </w:t>
      </w:r>
      <w:r>
        <w:rPr>
          <w:lang w:val="en-GB" w:eastAsia="zh-TW"/>
        </w:rPr>
        <w:t>charges;</w:t>
      </w:r>
    </w:p>
    <w:p w14:paraId="67E21ED4" w14:textId="6E01715D" w:rsidR="009E32EA" w:rsidRPr="009E32EA" w:rsidRDefault="009E32EA" w:rsidP="00717722">
      <w:pPr>
        <w:pStyle w:val="ListParagraph"/>
        <w:numPr>
          <w:ilvl w:val="0"/>
          <w:numId w:val="13"/>
        </w:numPr>
        <w:spacing w:after="120" w:line="276" w:lineRule="auto"/>
        <w:ind w:left="714" w:hanging="357"/>
        <w:contextualSpacing w:val="0"/>
        <w:rPr>
          <w:lang w:val="en-GB" w:eastAsia="zh-TW"/>
        </w:rPr>
      </w:pPr>
      <w:r>
        <w:rPr>
          <w:lang w:val="en-GB" w:eastAsia="zh-TW"/>
        </w:rPr>
        <w:t>discounts accidentally being inversely applied;</w:t>
      </w:r>
    </w:p>
    <w:p w14:paraId="7DAA7179" w14:textId="50B74162" w:rsidR="00F06655" w:rsidRDefault="00186038" w:rsidP="00717722">
      <w:pPr>
        <w:pStyle w:val="ListParagraph"/>
        <w:numPr>
          <w:ilvl w:val="0"/>
          <w:numId w:val="13"/>
        </w:numPr>
        <w:spacing w:after="120" w:line="276" w:lineRule="auto"/>
        <w:ind w:left="714" w:hanging="357"/>
        <w:contextualSpacing w:val="0"/>
        <w:rPr>
          <w:lang w:val="en-GB" w:eastAsia="zh-TW"/>
        </w:rPr>
      </w:pPr>
      <w:r>
        <w:rPr>
          <w:lang w:val="en-GB" w:eastAsia="zh-TW"/>
        </w:rPr>
        <w:t>inaccurate</w:t>
      </w:r>
      <w:r w:rsidR="00D779D3">
        <w:rPr>
          <w:lang w:val="en-GB" w:eastAsia="zh-TW"/>
        </w:rPr>
        <w:t xml:space="preserve"> site </w:t>
      </w:r>
      <w:r w:rsidR="00F06655">
        <w:rPr>
          <w:lang w:val="en-GB" w:eastAsia="zh-TW"/>
        </w:rPr>
        <w:t xml:space="preserve">information resulting in </w:t>
      </w:r>
      <w:r w:rsidR="00D779D3">
        <w:rPr>
          <w:lang w:val="en-GB" w:eastAsia="zh-TW"/>
        </w:rPr>
        <w:t>misapplication of HUE credits;</w:t>
      </w:r>
      <w:r w:rsidR="0076062B">
        <w:rPr>
          <w:lang w:val="en-GB" w:eastAsia="zh-TW"/>
        </w:rPr>
        <w:t xml:space="preserve"> and</w:t>
      </w:r>
    </w:p>
    <w:p w14:paraId="7A8B2B9D" w14:textId="2FA37D2F" w:rsidR="0076062B" w:rsidRDefault="0076062B" w:rsidP="00717722">
      <w:pPr>
        <w:pStyle w:val="ListParagraph"/>
        <w:numPr>
          <w:ilvl w:val="0"/>
          <w:numId w:val="13"/>
        </w:numPr>
        <w:spacing w:after="240" w:line="276" w:lineRule="auto"/>
        <w:ind w:left="714" w:hanging="357"/>
        <w:contextualSpacing w:val="0"/>
        <w:rPr>
          <w:lang w:val="en-GB" w:eastAsia="zh-TW"/>
        </w:rPr>
      </w:pPr>
      <w:r>
        <w:rPr>
          <w:lang w:val="en-GB" w:eastAsia="zh-TW"/>
        </w:rPr>
        <w:t>simple arithmetic errors in DC charging.</w:t>
      </w:r>
    </w:p>
    <w:p w14:paraId="2E062FA5" w14:textId="73AC0813" w:rsidR="007F53A1" w:rsidRPr="007F53A1" w:rsidRDefault="007F53A1" w:rsidP="007F53A1">
      <w:pPr>
        <w:rPr>
          <w:lang w:val="en-GB" w:eastAsia="zh-TW"/>
        </w:rPr>
      </w:pPr>
      <w:r>
        <w:rPr>
          <w:lang w:val="en-GB" w:eastAsia="zh-TW"/>
        </w:rPr>
        <w:t xml:space="preserve">The impacts of such inaccuracies vary in magnitude, depending on the scale of the development. For large scale commercial developments, a mistake in the calculation or a typo can have a significant impact on the final figure. </w:t>
      </w:r>
      <w:r w:rsidR="00701E82">
        <w:rPr>
          <w:lang w:val="en-GB" w:eastAsia="zh-TW"/>
        </w:rPr>
        <w:t xml:space="preserve">Case </w:t>
      </w:r>
      <w:r w:rsidR="002A69D4">
        <w:rPr>
          <w:lang w:val="en-GB" w:eastAsia="zh-TW"/>
        </w:rPr>
        <w:t>s</w:t>
      </w:r>
      <w:r w:rsidR="00701E82">
        <w:rPr>
          <w:lang w:val="en-GB" w:eastAsia="zh-TW"/>
        </w:rPr>
        <w:t>tudy 5</w:t>
      </w:r>
      <w:r>
        <w:rPr>
          <w:lang w:val="en-GB" w:eastAsia="zh-TW"/>
        </w:rPr>
        <w:t xml:space="preserve"> detailed below gives a real-life example of one such case.</w:t>
      </w:r>
    </w:p>
    <w:p w14:paraId="5DF29941" w14:textId="5230A7D5" w:rsidR="00B27604" w:rsidRDefault="00081DC4" w:rsidP="00B27604">
      <w:pPr>
        <w:rPr>
          <w:lang w:val="en-GB" w:eastAsia="zh-TW"/>
        </w:rPr>
      </w:pPr>
      <w:r w:rsidRPr="00C95CD0">
        <w:rPr>
          <w:b/>
          <w:noProof/>
          <w:lang w:val="en-AU"/>
        </w:rPr>
        <w:lastRenderedPageBreak/>
        <mc:AlternateContent>
          <mc:Choice Requires="wps">
            <w:drawing>
              <wp:inline distT="0" distB="0" distL="0" distR="0" wp14:anchorId="50E8CFC6" wp14:editId="294A6255">
                <wp:extent cx="5784215" cy="5675586"/>
                <wp:effectExtent l="12700" t="12700" r="6985" b="14605"/>
                <wp:docPr id="5" name="Text Box 5"/>
                <wp:cNvGraphicFramePr/>
                <a:graphic xmlns:a="http://schemas.openxmlformats.org/drawingml/2006/main">
                  <a:graphicData uri="http://schemas.microsoft.com/office/word/2010/wordprocessingShape">
                    <wps:wsp>
                      <wps:cNvSpPr txBox="1"/>
                      <wps:spPr>
                        <a:xfrm>
                          <a:off x="0" y="0"/>
                          <a:ext cx="5784215" cy="5675586"/>
                        </a:xfrm>
                        <a:prstGeom prst="rect">
                          <a:avLst/>
                        </a:prstGeom>
                        <a:solidFill>
                          <a:schemeClr val="bg1"/>
                        </a:solidFill>
                        <a:ln w="19050">
                          <a:solidFill>
                            <a:srgbClr val="85AEDC"/>
                          </a:solidFill>
                        </a:ln>
                      </wps:spPr>
                      <wps:txbx>
                        <w:txbxContent>
                          <w:p w14:paraId="4E9D097C" w14:textId="3B75B190" w:rsidR="005A4AFA" w:rsidRPr="00081DC4" w:rsidRDefault="005A4AFA" w:rsidP="000C1787">
                            <w:pPr>
                              <w:pStyle w:val="Caption"/>
                            </w:pPr>
                            <w:bookmarkStart w:id="37" w:name="_Toc533411228"/>
                            <w:r w:rsidRPr="00081DC4">
                              <w:t>C</w:t>
                            </w:r>
                            <w:r>
                              <w:t>ase s</w:t>
                            </w:r>
                            <w:r w:rsidRPr="00081DC4">
                              <w:t xml:space="preserve">tudy </w:t>
                            </w:r>
                            <w:r>
                              <w:rPr>
                                <w:noProof/>
                              </w:rPr>
                              <w:fldChar w:fldCharType="begin"/>
                            </w:r>
                            <w:r>
                              <w:rPr>
                                <w:noProof/>
                              </w:rPr>
                              <w:instrText xml:space="preserve"> SEQ Case_study \* ARABIC </w:instrText>
                            </w:r>
                            <w:r>
                              <w:rPr>
                                <w:noProof/>
                              </w:rPr>
                              <w:fldChar w:fldCharType="separate"/>
                            </w:r>
                            <w:r w:rsidR="0034416C">
                              <w:rPr>
                                <w:noProof/>
                              </w:rPr>
                              <w:t>6</w:t>
                            </w:r>
                            <w:r>
                              <w:rPr>
                                <w:noProof/>
                              </w:rPr>
                              <w:fldChar w:fldCharType="end"/>
                            </w:r>
                            <w:r w:rsidRPr="00081DC4">
                              <w:t>: Assessment issues</w:t>
                            </w:r>
                            <w:bookmarkEnd w:id="37"/>
                          </w:p>
                          <w:p w14:paraId="4662CC60" w14:textId="65CB53C1" w:rsidR="005A4AFA" w:rsidRPr="00081DC4" w:rsidRDefault="005A4AFA" w:rsidP="001222CD">
                            <w:pPr>
                              <w:rPr>
                                <w:rFonts w:cs="Open Sans"/>
                                <w:lang w:val="en-GB" w:eastAsia="zh-TW"/>
                              </w:rPr>
                            </w:pPr>
                            <w:r w:rsidRPr="00081DC4">
                              <w:rPr>
                                <w:rFonts w:cs="Open Sans"/>
                                <w:lang w:val="en-GB" w:eastAsia="zh-TW"/>
                              </w:rPr>
                              <w:t xml:space="preserve">In this DC case, the Council agreed with the developer to apply a 50% discount on waterways and land drainage (stormwater) to </w:t>
                            </w:r>
                            <w:proofErr w:type="gramStart"/>
                            <w:r w:rsidRPr="00081DC4">
                              <w:rPr>
                                <w:rFonts w:cs="Open Sans"/>
                                <w:lang w:val="en-GB" w:eastAsia="zh-TW"/>
                              </w:rPr>
                              <w:t>take into account</w:t>
                            </w:r>
                            <w:proofErr w:type="gramEnd"/>
                            <w:r w:rsidRPr="00081DC4">
                              <w:rPr>
                                <w:rFonts w:cs="Open Sans"/>
                                <w:lang w:val="en-GB" w:eastAsia="zh-TW"/>
                              </w:rPr>
                              <w:t xml:space="preserve"> previous infrastructure on the site. When the DC assessment was provided to the developer, it was found in the first instance that the council had in fact granted a 25% discount instead of the agreed upon 50%. </w:t>
                            </w:r>
                          </w:p>
                          <w:p w14:paraId="574749CD" w14:textId="78253F58" w:rsidR="005A4AFA" w:rsidRPr="00081DC4" w:rsidRDefault="005A4AFA" w:rsidP="001222CD">
                            <w:pPr>
                              <w:rPr>
                                <w:rFonts w:cs="Open Sans"/>
                                <w:lang w:val="en-GB" w:eastAsia="zh-TW"/>
                              </w:rPr>
                            </w:pPr>
                            <w:r w:rsidRPr="00081DC4">
                              <w:rPr>
                                <w:rFonts w:cs="Open Sans"/>
                                <w:lang w:val="en-GB" w:eastAsia="zh-TW"/>
                              </w:rPr>
                              <w:t>The second, and even more significant issue with the DC assessment was that somehow there had been miscalculations on the wastewater collection and waterways and land drainage assessments, whereby the discounts were invers</w:t>
                            </w:r>
                            <w:r>
                              <w:rPr>
                                <w:rFonts w:cs="Open Sans"/>
                                <w:lang w:val="en-GB" w:eastAsia="zh-TW"/>
                              </w:rPr>
                              <w:t>ely applied. As highlighted in F</w:t>
                            </w:r>
                            <w:r w:rsidRPr="00081DC4">
                              <w:rPr>
                                <w:rFonts w:cs="Open Sans"/>
                                <w:lang w:val="en-GB" w:eastAsia="zh-TW"/>
                              </w:rPr>
                              <w:t>igure</w:t>
                            </w:r>
                            <w:r>
                              <w:rPr>
                                <w:rFonts w:cs="Open Sans"/>
                                <w:lang w:val="en-GB" w:eastAsia="zh-TW"/>
                              </w:rPr>
                              <w:t xml:space="preserve"> 7</w:t>
                            </w:r>
                            <w:r w:rsidRPr="00081DC4">
                              <w:rPr>
                                <w:rFonts w:cs="Open Sans"/>
                                <w:lang w:val="en-GB" w:eastAsia="zh-TW"/>
                              </w:rPr>
                              <w:t xml:space="preserve"> below, the gross wastewater charge is $168,368.10, which rises to $407,515.52 after a 69% “discount” is applied. The gross waterways and land drainage on the other hand was assessed at $70,849.84, which rose to $414, 880.33 after the 25% “discount” was applied.</w:t>
                            </w:r>
                          </w:p>
                          <w:p w14:paraId="47B2D82A" w14:textId="1E982E22" w:rsidR="005A4AFA" w:rsidRPr="00202F44" w:rsidRDefault="005A4AFA" w:rsidP="00202F44">
                            <w:pPr>
                              <w:pStyle w:val="Caption"/>
                            </w:pPr>
                            <w:bookmarkStart w:id="38" w:name="_Toc533411221"/>
                            <w:r>
                              <w:t xml:space="preserve">Figure </w:t>
                            </w:r>
                            <w:r>
                              <w:rPr>
                                <w:noProof/>
                              </w:rPr>
                              <w:fldChar w:fldCharType="begin"/>
                            </w:r>
                            <w:r>
                              <w:rPr>
                                <w:noProof/>
                              </w:rPr>
                              <w:instrText xml:space="preserve"> SEQ Figure \* ARABIC </w:instrText>
                            </w:r>
                            <w:r>
                              <w:rPr>
                                <w:noProof/>
                              </w:rPr>
                              <w:fldChar w:fldCharType="separate"/>
                            </w:r>
                            <w:r w:rsidR="0034416C">
                              <w:rPr>
                                <w:noProof/>
                              </w:rPr>
                              <w:t>7</w:t>
                            </w:r>
                            <w:r>
                              <w:rPr>
                                <w:noProof/>
                              </w:rPr>
                              <w:fldChar w:fldCharType="end"/>
                            </w:r>
                            <w:r>
                              <w:t>:</w:t>
                            </w:r>
                            <w:r w:rsidRPr="00202F44">
                              <w:t xml:space="preserve"> </w:t>
                            </w:r>
                            <w:r>
                              <w:t>Original development contributions assessment (extract)</w:t>
                            </w:r>
                            <w:bookmarkEnd w:id="38"/>
                          </w:p>
                          <w:p w14:paraId="01324F7C" w14:textId="2FD2D0AF" w:rsidR="005A4AFA" w:rsidRPr="00081DC4" w:rsidRDefault="005A4AFA" w:rsidP="006C0F43">
                            <w:pPr>
                              <w:jc w:val="left"/>
                              <w:rPr>
                                <w:rFonts w:cs="Open Sans"/>
                                <w:lang w:val="en-GB" w:eastAsia="zh-TW"/>
                              </w:rPr>
                            </w:pPr>
                            <w:r w:rsidRPr="00081DC4">
                              <w:rPr>
                                <w:rFonts w:cs="Open Sans"/>
                                <w:noProof/>
                                <w:lang w:val="en-GB" w:eastAsia="zh-TW"/>
                              </w:rPr>
                              <w:drawing>
                                <wp:inline distT="0" distB="0" distL="0" distR="0" wp14:anchorId="53AB3D6D" wp14:editId="569EF8CE">
                                  <wp:extent cx="5582285" cy="225361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9-23 at 12.13.51 PM.jpeg"/>
                                          <pic:cNvPicPr/>
                                        </pic:nvPicPr>
                                        <pic:blipFill>
                                          <a:blip r:embed="rId34"/>
                                          <a:stretch>
                                            <a:fillRect/>
                                          </a:stretch>
                                        </pic:blipFill>
                                        <pic:spPr>
                                          <a:xfrm>
                                            <a:off x="0" y="0"/>
                                            <a:ext cx="5582285" cy="2253615"/>
                                          </a:xfrm>
                                          <a:prstGeom prst="rect">
                                            <a:avLst/>
                                          </a:prstGeom>
                                        </pic:spPr>
                                      </pic:pic>
                                    </a:graphicData>
                                  </a:graphic>
                                </wp:inline>
                              </w:drawing>
                            </w:r>
                            <w:r w:rsidRPr="00081DC4">
                              <w:rPr>
                                <w:rFonts w:cs="Open Sans"/>
                                <w:lang w:val="en-GB" w:eastAsia="zh-TW"/>
                              </w:rPr>
                              <w:br/>
                              <w:t xml:space="preserve">Upon receiving this assessment and realising its inaccuracy, the property consultant involved communicated with the Council, resulting in the reassessment </w:t>
                            </w:r>
                            <w:r>
                              <w:rPr>
                                <w:rFonts w:cs="Open Sans"/>
                                <w:lang w:val="en-GB" w:eastAsia="zh-TW"/>
                              </w:rPr>
                              <w:t>shown</w:t>
                            </w:r>
                            <w:r w:rsidRPr="00081DC4">
                              <w:rPr>
                                <w:rFonts w:cs="Open Sans"/>
                                <w:lang w:val="en-GB" w:eastAsia="zh-TW"/>
                              </w:rPr>
                              <w:t xml:space="preserve"> </w:t>
                            </w:r>
                            <w:r>
                              <w:rPr>
                                <w:rFonts w:cs="Open Sans"/>
                                <w:lang w:val="en-GB" w:eastAsia="zh-TW"/>
                              </w:rPr>
                              <w:t>on the following page.</w:t>
                            </w:r>
                          </w:p>
                          <w:p w14:paraId="60CC42EB" w14:textId="342FDAEA" w:rsidR="005A4AFA" w:rsidRDefault="005A4AFA" w:rsidP="006C0F43">
                            <w:pPr>
                              <w:jc w:val="left"/>
                              <w:rPr>
                                <w:rFonts w:cs="Open Sans"/>
                                <w:sz w:val="18"/>
                                <w:szCs w:val="18"/>
                                <w:lang w:val="en-GB" w:eastAsia="zh-TW"/>
                              </w:rPr>
                            </w:pPr>
                          </w:p>
                          <w:p w14:paraId="21D5A046" w14:textId="77777777" w:rsidR="005A4AFA" w:rsidRDefault="005A4AFA" w:rsidP="006C0F43">
                            <w:pPr>
                              <w:jc w:val="left"/>
                              <w:rPr>
                                <w:rFonts w:cs="Open Sans"/>
                                <w:sz w:val="18"/>
                                <w:szCs w:val="18"/>
                                <w:lang w:val="en-GB" w:eastAsia="zh-TW"/>
                              </w:rPr>
                            </w:pPr>
                          </w:p>
                          <w:p w14:paraId="12E1AC85" w14:textId="7C0388F7" w:rsidR="005A4AFA" w:rsidRPr="00CD4CD8" w:rsidRDefault="005A4AFA" w:rsidP="006C0F43">
                            <w:pPr>
                              <w:jc w:val="left"/>
                              <w:rPr>
                                <w:rFonts w:cs="Open Sans"/>
                                <w:b/>
                                <w:color w:val="0070C0"/>
                                <w:sz w:val="18"/>
                                <w:szCs w:val="18"/>
                                <w:lang w:val="en-AU"/>
                              </w:rPr>
                            </w:pPr>
                            <w:r>
                              <w:rPr>
                                <w:rFonts w:cs="Open Sans"/>
                                <w:sz w:val="18"/>
                                <w:szCs w:val="18"/>
                                <w:lang w:val="en-GB" w:eastAsia="zh-TW"/>
                              </w:rPr>
                              <w:br/>
                            </w:r>
                            <w:r>
                              <w:rPr>
                                <w:rFonts w:cs="Open Sans"/>
                                <w:sz w:val="18"/>
                                <w:szCs w:val="18"/>
                                <w:lang w:val="en-GB" w:eastAsia="zh-TW"/>
                              </w:rPr>
                              <w:br/>
                            </w:r>
                          </w:p>
                          <w:p w14:paraId="76A436BE" w14:textId="77777777" w:rsidR="005A4AFA" w:rsidRDefault="005A4AFA" w:rsidP="00CD4CD8">
                            <w:pPr>
                              <w:jc w:val="left"/>
                              <w:rPr>
                                <w:rFonts w:cs="Open Sans"/>
                                <w:sz w:val="18"/>
                                <w:szCs w:val="18"/>
                                <w:lang w:val="en-GB" w:eastAsia="zh-TW"/>
                              </w:rPr>
                            </w:pPr>
                          </w:p>
                          <w:p w14:paraId="3B409BF5" w14:textId="77777777" w:rsidR="005A4AFA" w:rsidRDefault="005A4AFA" w:rsidP="00CD4CD8">
                            <w:pPr>
                              <w:jc w:val="left"/>
                              <w:rPr>
                                <w:rFonts w:cs="Open Sans"/>
                                <w:sz w:val="18"/>
                                <w:szCs w:val="18"/>
                                <w:lang w:val="en-GB" w:eastAsia="zh-TW"/>
                              </w:rPr>
                            </w:pPr>
                          </w:p>
                          <w:p w14:paraId="38ABDE32" w14:textId="77777777" w:rsidR="005A4AFA" w:rsidRDefault="005A4AFA" w:rsidP="00CD4CD8">
                            <w:pPr>
                              <w:jc w:val="left"/>
                              <w:rPr>
                                <w:rFonts w:cs="Open Sans"/>
                                <w:b/>
                                <w:color w:val="0070C0"/>
                                <w:sz w:val="18"/>
                                <w:szCs w:val="18"/>
                                <w:lang w:val="en-AU"/>
                              </w:rPr>
                            </w:pPr>
                          </w:p>
                          <w:p w14:paraId="3477F5FD" w14:textId="77777777" w:rsidR="005A4AFA" w:rsidRPr="00DD543A" w:rsidRDefault="005A4AFA" w:rsidP="00CD4CD8">
                            <w:pPr>
                              <w:jc w:val="left"/>
                              <w:rPr>
                                <w:rFonts w:cs="Open Sans"/>
                                <w:b/>
                                <w:color w:val="0070C0"/>
                                <w:sz w:val="18"/>
                                <w:szCs w:val="18"/>
                                <w:lang w:val="en-AU"/>
                              </w:rPr>
                            </w:pPr>
                          </w:p>
                          <w:p w14:paraId="7924ABDF" w14:textId="77777777" w:rsidR="005A4AFA" w:rsidRPr="00B01DA2" w:rsidRDefault="005A4AFA" w:rsidP="00CD4CD8">
                            <w:pPr>
                              <w:spacing w:after="320"/>
                              <w:jc w:val="left"/>
                              <w:rPr>
                                <w:rFonts w:eastAsia="Times New Roman" w:cs="Open Sans"/>
                                <w:sz w:val="18"/>
                                <w:szCs w:val="18"/>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E8CFC6" id="Text Box 5" o:spid="_x0000_s1035" type="#_x0000_t202" style="width:455.45pt;height:44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" fillcolor="white [3212]" strokecolor="#85aedc" strokeweight="1.5pt">
                <v:textbox>
                  <w:txbxContent>
                    <w:p w14:paraId="4E9D097C" w14:textId="3B75B190" w:rsidR="005A4AFA" w:rsidRPr="00081DC4" w:rsidRDefault="005A4AFA" w:rsidP="000C1787">
                      <w:pPr>
                        <w:pStyle w:val="Caption"/>
                      </w:pPr>
                      <w:bookmarkStart w:id="39" w:name="_Toc533411228"/>
                      <w:r w:rsidRPr="00081DC4">
                        <w:t>C</w:t>
                      </w:r>
                      <w:r>
                        <w:t>ase s</w:t>
                      </w:r>
                      <w:r w:rsidRPr="00081DC4">
                        <w:t xml:space="preserve">tudy </w:t>
                      </w:r>
                      <w:r>
                        <w:rPr>
                          <w:noProof/>
                        </w:rPr>
                        <w:fldChar w:fldCharType="begin"/>
                      </w:r>
                      <w:r>
                        <w:rPr>
                          <w:noProof/>
                        </w:rPr>
                        <w:instrText xml:space="preserve"> SEQ Case_study \* ARABIC </w:instrText>
                      </w:r>
                      <w:r>
                        <w:rPr>
                          <w:noProof/>
                        </w:rPr>
                        <w:fldChar w:fldCharType="separate"/>
                      </w:r>
                      <w:r w:rsidR="0034416C">
                        <w:rPr>
                          <w:noProof/>
                        </w:rPr>
                        <w:t>6</w:t>
                      </w:r>
                      <w:r>
                        <w:rPr>
                          <w:noProof/>
                        </w:rPr>
                        <w:fldChar w:fldCharType="end"/>
                      </w:r>
                      <w:r w:rsidRPr="00081DC4">
                        <w:t>: Assessment issues</w:t>
                      </w:r>
                      <w:bookmarkEnd w:id="39"/>
                    </w:p>
                    <w:p w14:paraId="4662CC60" w14:textId="65CB53C1" w:rsidR="005A4AFA" w:rsidRPr="00081DC4" w:rsidRDefault="005A4AFA" w:rsidP="001222CD">
                      <w:pPr>
                        <w:rPr>
                          <w:rFonts w:cs="Open Sans"/>
                          <w:lang w:val="en-GB" w:eastAsia="zh-TW"/>
                        </w:rPr>
                      </w:pPr>
                      <w:r w:rsidRPr="00081DC4">
                        <w:rPr>
                          <w:rFonts w:cs="Open Sans"/>
                          <w:lang w:val="en-GB" w:eastAsia="zh-TW"/>
                        </w:rPr>
                        <w:t xml:space="preserve">In this DC case, the Council agreed with the developer to apply a 50% discount on waterways and land drainage (stormwater) to </w:t>
                      </w:r>
                      <w:proofErr w:type="gramStart"/>
                      <w:r w:rsidRPr="00081DC4">
                        <w:rPr>
                          <w:rFonts w:cs="Open Sans"/>
                          <w:lang w:val="en-GB" w:eastAsia="zh-TW"/>
                        </w:rPr>
                        <w:t>take into account</w:t>
                      </w:r>
                      <w:proofErr w:type="gramEnd"/>
                      <w:r w:rsidRPr="00081DC4">
                        <w:rPr>
                          <w:rFonts w:cs="Open Sans"/>
                          <w:lang w:val="en-GB" w:eastAsia="zh-TW"/>
                        </w:rPr>
                        <w:t xml:space="preserve"> previous infrastructure on the site. When the DC assessment was provided to the developer, it was found in the first instance that the council had in fact granted a 25% discount instead of the agreed upon 50%. </w:t>
                      </w:r>
                    </w:p>
                    <w:p w14:paraId="574749CD" w14:textId="78253F58" w:rsidR="005A4AFA" w:rsidRPr="00081DC4" w:rsidRDefault="005A4AFA" w:rsidP="001222CD">
                      <w:pPr>
                        <w:rPr>
                          <w:rFonts w:cs="Open Sans"/>
                          <w:lang w:val="en-GB" w:eastAsia="zh-TW"/>
                        </w:rPr>
                      </w:pPr>
                      <w:r w:rsidRPr="00081DC4">
                        <w:rPr>
                          <w:rFonts w:cs="Open Sans"/>
                          <w:lang w:val="en-GB" w:eastAsia="zh-TW"/>
                        </w:rPr>
                        <w:t>The second, and even more significant issue with the DC assessment was that somehow there had been miscalculations on the wastewater collection and waterways and land drainage assessments, whereby the discounts were invers</w:t>
                      </w:r>
                      <w:r>
                        <w:rPr>
                          <w:rFonts w:cs="Open Sans"/>
                          <w:lang w:val="en-GB" w:eastAsia="zh-TW"/>
                        </w:rPr>
                        <w:t>ely applied. As highlighted in F</w:t>
                      </w:r>
                      <w:r w:rsidRPr="00081DC4">
                        <w:rPr>
                          <w:rFonts w:cs="Open Sans"/>
                          <w:lang w:val="en-GB" w:eastAsia="zh-TW"/>
                        </w:rPr>
                        <w:t>igure</w:t>
                      </w:r>
                      <w:r>
                        <w:rPr>
                          <w:rFonts w:cs="Open Sans"/>
                          <w:lang w:val="en-GB" w:eastAsia="zh-TW"/>
                        </w:rPr>
                        <w:t xml:space="preserve"> 7</w:t>
                      </w:r>
                      <w:r w:rsidRPr="00081DC4">
                        <w:rPr>
                          <w:rFonts w:cs="Open Sans"/>
                          <w:lang w:val="en-GB" w:eastAsia="zh-TW"/>
                        </w:rPr>
                        <w:t xml:space="preserve"> below, the gross wastewater charge is $168,368.10, which rises to $407,515.52 after a 69% “discount” is applied. The gross waterways and land drainage on the other hand was assessed at $70,849.84, which rose to $414, 880.33 after the 25% “discount” was applied.</w:t>
                      </w:r>
                    </w:p>
                    <w:p w14:paraId="47B2D82A" w14:textId="1E982E22" w:rsidR="005A4AFA" w:rsidRPr="00202F44" w:rsidRDefault="005A4AFA" w:rsidP="00202F44">
                      <w:pPr>
                        <w:pStyle w:val="Caption"/>
                      </w:pPr>
                      <w:bookmarkStart w:id="40" w:name="_Toc533411221"/>
                      <w:r>
                        <w:t xml:space="preserve">Figure </w:t>
                      </w:r>
                      <w:r>
                        <w:rPr>
                          <w:noProof/>
                        </w:rPr>
                        <w:fldChar w:fldCharType="begin"/>
                      </w:r>
                      <w:r>
                        <w:rPr>
                          <w:noProof/>
                        </w:rPr>
                        <w:instrText xml:space="preserve"> SEQ Figure \* ARABIC </w:instrText>
                      </w:r>
                      <w:r>
                        <w:rPr>
                          <w:noProof/>
                        </w:rPr>
                        <w:fldChar w:fldCharType="separate"/>
                      </w:r>
                      <w:r w:rsidR="0034416C">
                        <w:rPr>
                          <w:noProof/>
                        </w:rPr>
                        <w:t>7</w:t>
                      </w:r>
                      <w:r>
                        <w:rPr>
                          <w:noProof/>
                        </w:rPr>
                        <w:fldChar w:fldCharType="end"/>
                      </w:r>
                      <w:r>
                        <w:t>:</w:t>
                      </w:r>
                      <w:r w:rsidRPr="00202F44">
                        <w:t xml:space="preserve"> </w:t>
                      </w:r>
                      <w:r>
                        <w:t>Original development contributions assessment (extract)</w:t>
                      </w:r>
                      <w:bookmarkEnd w:id="40"/>
                    </w:p>
                    <w:p w14:paraId="01324F7C" w14:textId="2FD2D0AF" w:rsidR="005A4AFA" w:rsidRPr="00081DC4" w:rsidRDefault="005A4AFA" w:rsidP="006C0F43">
                      <w:pPr>
                        <w:jc w:val="left"/>
                        <w:rPr>
                          <w:rFonts w:cs="Open Sans"/>
                          <w:lang w:val="en-GB" w:eastAsia="zh-TW"/>
                        </w:rPr>
                      </w:pPr>
                      <w:r w:rsidRPr="00081DC4">
                        <w:rPr>
                          <w:rFonts w:cs="Open Sans"/>
                          <w:noProof/>
                          <w:lang w:val="en-GB" w:eastAsia="zh-TW"/>
                        </w:rPr>
                        <w:drawing>
                          <wp:inline distT="0" distB="0" distL="0" distR="0" wp14:anchorId="53AB3D6D" wp14:editId="569EF8CE">
                            <wp:extent cx="5582285" cy="225361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9-23 at 12.13.51 PM.jpeg"/>
                                    <pic:cNvPicPr/>
                                  </pic:nvPicPr>
                                  <pic:blipFill>
                                    <a:blip r:embed="rId34"/>
                                    <a:stretch>
                                      <a:fillRect/>
                                    </a:stretch>
                                  </pic:blipFill>
                                  <pic:spPr>
                                    <a:xfrm>
                                      <a:off x="0" y="0"/>
                                      <a:ext cx="5582285" cy="2253615"/>
                                    </a:xfrm>
                                    <a:prstGeom prst="rect">
                                      <a:avLst/>
                                    </a:prstGeom>
                                  </pic:spPr>
                                </pic:pic>
                              </a:graphicData>
                            </a:graphic>
                          </wp:inline>
                        </w:drawing>
                      </w:r>
                      <w:r w:rsidRPr="00081DC4">
                        <w:rPr>
                          <w:rFonts w:cs="Open Sans"/>
                          <w:lang w:val="en-GB" w:eastAsia="zh-TW"/>
                        </w:rPr>
                        <w:br/>
                        <w:t xml:space="preserve">Upon receiving this assessment and realising its inaccuracy, the property consultant involved communicated with the Council, resulting in the reassessment </w:t>
                      </w:r>
                      <w:r>
                        <w:rPr>
                          <w:rFonts w:cs="Open Sans"/>
                          <w:lang w:val="en-GB" w:eastAsia="zh-TW"/>
                        </w:rPr>
                        <w:t>shown</w:t>
                      </w:r>
                      <w:r w:rsidRPr="00081DC4">
                        <w:rPr>
                          <w:rFonts w:cs="Open Sans"/>
                          <w:lang w:val="en-GB" w:eastAsia="zh-TW"/>
                        </w:rPr>
                        <w:t xml:space="preserve"> </w:t>
                      </w:r>
                      <w:r>
                        <w:rPr>
                          <w:rFonts w:cs="Open Sans"/>
                          <w:lang w:val="en-GB" w:eastAsia="zh-TW"/>
                        </w:rPr>
                        <w:t>on the following page.</w:t>
                      </w:r>
                    </w:p>
                    <w:p w14:paraId="60CC42EB" w14:textId="342FDAEA" w:rsidR="005A4AFA" w:rsidRDefault="005A4AFA" w:rsidP="006C0F43">
                      <w:pPr>
                        <w:jc w:val="left"/>
                        <w:rPr>
                          <w:rFonts w:cs="Open Sans"/>
                          <w:sz w:val="18"/>
                          <w:szCs w:val="18"/>
                          <w:lang w:val="en-GB" w:eastAsia="zh-TW"/>
                        </w:rPr>
                      </w:pPr>
                    </w:p>
                    <w:p w14:paraId="21D5A046" w14:textId="77777777" w:rsidR="005A4AFA" w:rsidRDefault="005A4AFA" w:rsidP="006C0F43">
                      <w:pPr>
                        <w:jc w:val="left"/>
                        <w:rPr>
                          <w:rFonts w:cs="Open Sans"/>
                          <w:sz w:val="18"/>
                          <w:szCs w:val="18"/>
                          <w:lang w:val="en-GB" w:eastAsia="zh-TW"/>
                        </w:rPr>
                      </w:pPr>
                    </w:p>
                    <w:p w14:paraId="12E1AC85" w14:textId="7C0388F7" w:rsidR="005A4AFA" w:rsidRPr="00CD4CD8" w:rsidRDefault="005A4AFA" w:rsidP="006C0F43">
                      <w:pPr>
                        <w:jc w:val="left"/>
                        <w:rPr>
                          <w:rFonts w:cs="Open Sans"/>
                          <w:b/>
                          <w:color w:val="0070C0"/>
                          <w:sz w:val="18"/>
                          <w:szCs w:val="18"/>
                          <w:lang w:val="en-AU"/>
                        </w:rPr>
                      </w:pPr>
                      <w:r>
                        <w:rPr>
                          <w:rFonts w:cs="Open Sans"/>
                          <w:sz w:val="18"/>
                          <w:szCs w:val="18"/>
                          <w:lang w:val="en-GB" w:eastAsia="zh-TW"/>
                        </w:rPr>
                        <w:br/>
                      </w:r>
                      <w:r>
                        <w:rPr>
                          <w:rFonts w:cs="Open Sans"/>
                          <w:sz w:val="18"/>
                          <w:szCs w:val="18"/>
                          <w:lang w:val="en-GB" w:eastAsia="zh-TW"/>
                        </w:rPr>
                        <w:br/>
                      </w:r>
                    </w:p>
                    <w:p w14:paraId="76A436BE" w14:textId="77777777" w:rsidR="005A4AFA" w:rsidRDefault="005A4AFA" w:rsidP="00CD4CD8">
                      <w:pPr>
                        <w:jc w:val="left"/>
                        <w:rPr>
                          <w:rFonts w:cs="Open Sans"/>
                          <w:sz w:val="18"/>
                          <w:szCs w:val="18"/>
                          <w:lang w:val="en-GB" w:eastAsia="zh-TW"/>
                        </w:rPr>
                      </w:pPr>
                    </w:p>
                    <w:p w14:paraId="3B409BF5" w14:textId="77777777" w:rsidR="005A4AFA" w:rsidRDefault="005A4AFA" w:rsidP="00CD4CD8">
                      <w:pPr>
                        <w:jc w:val="left"/>
                        <w:rPr>
                          <w:rFonts w:cs="Open Sans"/>
                          <w:sz w:val="18"/>
                          <w:szCs w:val="18"/>
                          <w:lang w:val="en-GB" w:eastAsia="zh-TW"/>
                        </w:rPr>
                      </w:pPr>
                    </w:p>
                    <w:p w14:paraId="38ABDE32" w14:textId="77777777" w:rsidR="005A4AFA" w:rsidRDefault="005A4AFA" w:rsidP="00CD4CD8">
                      <w:pPr>
                        <w:jc w:val="left"/>
                        <w:rPr>
                          <w:rFonts w:cs="Open Sans"/>
                          <w:b/>
                          <w:color w:val="0070C0"/>
                          <w:sz w:val="18"/>
                          <w:szCs w:val="18"/>
                          <w:lang w:val="en-AU"/>
                        </w:rPr>
                      </w:pPr>
                    </w:p>
                    <w:p w14:paraId="3477F5FD" w14:textId="77777777" w:rsidR="005A4AFA" w:rsidRPr="00DD543A" w:rsidRDefault="005A4AFA" w:rsidP="00CD4CD8">
                      <w:pPr>
                        <w:jc w:val="left"/>
                        <w:rPr>
                          <w:rFonts w:cs="Open Sans"/>
                          <w:b/>
                          <w:color w:val="0070C0"/>
                          <w:sz w:val="18"/>
                          <w:szCs w:val="18"/>
                          <w:lang w:val="en-AU"/>
                        </w:rPr>
                      </w:pPr>
                    </w:p>
                    <w:p w14:paraId="7924ABDF" w14:textId="77777777" w:rsidR="005A4AFA" w:rsidRPr="00B01DA2" w:rsidRDefault="005A4AFA" w:rsidP="00CD4CD8">
                      <w:pPr>
                        <w:spacing w:after="320"/>
                        <w:jc w:val="left"/>
                        <w:rPr>
                          <w:rFonts w:eastAsia="Times New Roman" w:cs="Open Sans"/>
                          <w:sz w:val="18"/>
                          <w:szCs w:val="18"/>
                          <w:lang w:val="en-AU"/>
                        </w:rPr>
                      </w:pPr>
                    </w:p>
                  </w:txbxContent>
                </v:textbox>
                <w10:anchorlock/>
              </v:shape>
            </w:pict>
          </mc:Fallback>
        </mc:AlternateContent>
      </w:r>
    </w:p>
    <w:p w14:paraId="5DA960BC" w14:textId="20FA739A" w:rsidR="001D3FF6" w:rsidRDefault="00081DC4" w:rsidP="00B27604">
      <w:pPr>
        <w:rPr>
          <w:lang w:val="en-GB" w:eastAsia="zh-TW"/>
        </w:rPr>
      </w:pPr>
      <w:r w:rsidRPr="00C95CD0">
        <w:rPr>
          <w:b/>
          <w:noProof/>
          <w:lang w:val="en-AU"/>
        </w:rPr>
        <w:lastRenderedPageBreak/>
        <mc:AlternateContent>
          <mc:Choice Requires="wps">
            <w:drawing>
              <wp:inline distT="0" distB="0" distL="0" distR="0" wp14:anchorId="42DAEC54" wp14:editId="0E1BFF94">
                <wp:extent cx="5784215" cy="3724102"/>
                <wp:effectExtent l="12700" t="12700" r="6985" b="10160"/>
                <wp:docPr id="13" name="Text Box 13"/>
                <wp:cNvGraphicFramePr/>
                <a:graphic xmlns:a="http://schemas.openxmlformats.org/drawingml/2006/main">
                  <a:graphicData uri="http://schemas.microsoft.com/office/word/2010/wordprocessingShape">
                    <wps:wsp>
                      <wps:cNvSpPr txBox="1"/>
                      <wps:spPr>
                        <a:xfrm>
                          <a:off x="0" y="0"/>
                          <a:ext cx="5784215" cy="3724102"/>
                        </a:xfrm>
                        <a:prstGeom prst="rect">
                          <a:avLst/>
                        </a:prstGeom>
                        <a:solidFill>
                          <a:schemeClr val="bg1"/>
                        </a:solidFill>
                        <a:ln w="19050">
                          <a:solidFill>
                            <a:schemeClr val="accent1"/>
                          </a:solidFill>
                        </a:ln>
                      </wps:spPr>
                      <wps:txbx>
                        <w:txbxContent>
                          <w:p w14:paraId="2B5BAEE7" w14:textId="555FE731" w:rsidR="005A4AFA" w:rsidRPr="00360A89" w:rsidRDefault="005A4AFA" w:rsidP="00360A89">
                            <w:pPr>
                              <w:pStyle w:val="Caption"/>
                            </w:pPr>
                            <w:bookmarkStart w:id="41" w:name="_Toc533411222"/>
                            <w:r>
                              <w:t xml:space="preserve">Figure </w:t>
                            </w:r>
                            <w:r>
                              <w:rPr>
                                <w:noProof/>
                              </w:rPr>
                              <w:fldChar w:fldCharType="begin"/>
                            </w:r>
                            <w:r>
                              <w:rPr>
                                <w:noProof/>
                              </w:rPr>
                              <w:instrText xml:space="preserve"> SEQ Figure \* ARABIC </w:instrText>
                            </w:r>
                            <w:r>
                              <w:rPr>
                                <w:noProof/>
                              </w:rPr>
                              <w:fldChar w:fldCharType="separate"/>
                            </w:r>
                            <w:r w:rsidR="0034416C">
                              <w:rPr>
                                <w:noProof/>
                              </w:rPr>
                              <w:t>8</w:t>
                            </w:r>
                            <w:r>
                              <w:rPr>
                                <w:noProof/>
                              </w:rPr>
                              <w:fldChar w:fldCharType="end"/>
                            </w:r>
                            <w:r>
                              <w:t>:</w:t>
                            </w:r>
                            <w:r w:rsidRPr="00202F44">
                              <w:t xml:space="preserve"> </w:t>
                            </w:r>
                            <w:r>
                              <w:t>Subsequent development contributions assessment (extract)</w:t>
                            </w:r>
                            <w:bookmarkEnd w:id="41"/>
                          </w:p>
                          <w:p w14:paraId="107E7FF1" w14:textId="2AEE03F9" w:rsidR="005A4AFA" w:rsidRDefault="005A4AFA" w:rsidP="00081DC4">
                            <w:pPr>
                              <w:jc w:val="left"/>
                              <w:rPr>
                                <w:rFonts w:cs="Open Sans"/>
                                <w:lang w:val="en-GB" w:eastAsia="zh-TW"/>
                              </w:rPr>
                            </w:pPr>
                            <w:r>
                              <w:rPr>
                                <w:rFonts w:cs="Open Sans"/>
                                <w:noProof/>
                                <w:sz w:val="18"/>
                                <w:szCs w:val="18"/>
                                <w:lang w:val="en-GB" w:eastAsia="zh-TW"/>
                              </w:rPr>
                              <w:drawing>
                                <wp:inline distT="0" distB="0" distL="0" distR="0" wp14:anchorId="081B2D72" wp14:editId="48DB40F6">
                                  <wp:extent cx="5582285" cy="227774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10-19 at 2.03.40 PM.jpeg"/>
                                          <pic:cNvPicPr/>
                                        </pic:nvPicPr>
                                        <pic:blipFill>
                                          <a:blip r:embed="rId35"/>
                                          <a:stretch>
                                            <a:fillRect/>
                                          </a:stretch>
                                        </pic:blipFill>
                                        <pic:spPr>
                                          <a:xfrm>
                                            <a:off x="0" y="0"/>
                                            <a:ext cx="5582285" cy="2277745"/>
                                          </a:xfrm>
                                          <a:prstGeom prst="rect">
                                            <a:avLst/>
                                          </a:prstGeom>
                                        </pic:spPr>
                                      </pic:pic>
                                    </a:graphicData>
                                  </a:graphic>
                                </wp:inline>
                              </w:drawing>
                            </w:r>
                          </w:p>
                          <w:p w14:paraId="036BFAF8" w14:textId="77519999" w:rsidR="005A4AFA" w:rsidRPr="00081DC4" w:rsidRDefault="005A4AFA" w:rsidP="00081DC4">
                            <w:pPr>
                              <w:jc w:val="left"/>
                              <w:rPr>
                                <w:rFonts w:cs="Open Sans"/>
                                <w:b/>
                                <w:color w:val="0070C0"/>
                                <w:lang w:val="en-AU"/>
                              </w:rPr>
                            </w:pPr>
                            <w:r w:rsidRPr="00081DC4">
                              <w:rPr>
                                <w:rFonts w:cs="Open Sans"/>
                                <w:lang w:val="en-GB" w:eastAsia="zh-TW"/>
                              </w:rPr>
                              <w:t xml:space="preserve">As illustrated above, amendment of the waterways and land drainage DC from 25 to 50 percent, alongside correcting the discount calculation resulted in a new community and network infrastructure total charge of $524,965.13. This amended total is $734,776.82 lower than the original assessment. </w:t>
                            </w:r>
                            <w:r w:rsidRPr="00081DC4">
                              <w:rPr>
                                <w:rFonts w:cs="Open Sans"/>
                                <w:lang w:val="en-GB" w:eastAsia="zh-TW"/>
                              </w:rPr>
                              <w:br/>
                            </w:r>
                          </w:p>
                          <w:p w14:paraId="6087A980" w14:textId="77777777" w:rsidR="005A4AFA" w:rsidRDefault="005A4AFA" w:rsidP="00B57C8F">
                            <w:pPr>
                              <w:jc w:val="left"/>
                              <w:rPr>
                                <w:rFonts w:cs="Open Sans"/>
                                <w:sz w:val="18"/>
                                <w:szCs w:val="18"/>
                                <w:lang w:val="en-GB" w:eastAsia="zh-TW"/>
                              </w:rPr>
                            </w:pPr>
                          </w:p>
                          <w:p w14:paraId="4F7E7030" w14:textId="77777777" w:rsidR="005A4AFA" w:rsidRDefault="005A4AFA" w:rsidP="00B57C8F">
                            <w:pPr>
                              <w:jc w:val="left"/>
                              <w:rPr>
                                <w:rFonts w:cs="Open Sans"/>
                                <w:sz w:val="18"/>
                                <w:szCs w:val="18"/>
                                <w:lang w:val="en-GB" w:eastAsia="zh-TW"/>
                              </w:rPr>
                            </w:pPr>
                          </w:p>
                          <w:p w14:paraId="40A2AF5D" w14:textId="77777777" w:rsidR="005A4AFA" w:rsidRDefault="005A4AFA" w:rsidP="00B57C8F">
                            <w:pPr>
                              <w:jc w:val="left"/>
                              <w:rPr>
                                <w:rFonts w:cs="Open Sans"/>
                                <w:b/>
                                <w:color w:val="0070C0"/>
                                <w:sz w:val="18"/>
                                <w:szCs w:val="18"/>
                                <w:lang w:val="en-AU"/>
                              </w:rPr>
                            </w:pPr>
                          </w:p>
                          <w:p w14:paraId="3C2E5907" w14:textId="77777777" w:rsidR="005A4AFA" w:rsidRPr="00DD543A" w:rsidRDefault="005A4AFA" w:rsidP="00B57C8F">
                            <w:pPr>
                              <w:jc w:val="left"/>
                              <w:rPr>
                                <w:rFonts w:cs="Open Sans"/>
                                <w:b/>
                                <w:color w:val="0070C0"/>
                                <w:sz w:val="18"/>
                                <w:szCs w:val="18"/>
                                <w:lang w:val="en-AU"/>
                              </w:rPr>
                            </w:pPr>
                          </w:p>
                          <w:p w14:paraId="591A3E01" w14:textId="77777777" w:rsidR="005A4AFA" w:rsidRPr="00B01DA2" w:rsidRDefault="005A4AFA" w:rsidP="00B57C8F">
                            <w:pPr>
                              <w:spacing w:after="320"/>
                              <w:jc w:val="left"/>
                              <w:rPr>
                                <w:rFonts w:eastAsia="Times New Roman" w:cs="Open Sans"/>
                                <w:sz w:val="18"/>
                                <w:szCs w:val="18"/>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DAEC54" id="Text Box 13" o:spid="_x0000_s1036" type="#_x0000_t202" style="width:455.45pt;height:29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" fillcolor="white [3212]" strokecolor="#4f81bd [3204]" strokeweight="1.5pt">
                <v:textbox>
                  <w:txbxContent>
                    <w:p w14:paraId="2B5BAEE7" w14:textId="555FE731" w:rsidR="005A4AFA" w:rsidRPr="00360A89" w:rsidRDefault="005A4AFA" w:rsidP="00360A89">
                      <w:pPr>
                        <w:pStyle w:val="Caption"/>
                      </w:pPr>
                      <w:bookmarkStart w:id="42" w:name="_Toc533411222"/>
                      <w:r>
                        <w:t xml:space="preserve">Figure </w:t>
                      </w:r>
                      <w:r>
                        <w:rPr>
                          <w:noProof/>
                        </w:rPr>
                        <w:fldChar w:fldCharType="begin"/>
                      </w:r>
                      <w:r>
                        <w:rPr>
                          <w:noProof/>
                        </w:rPr>
                        <w:instrText xml:space="preserve"> SEQ Figure \* ARABIC </w:instrText>
                      </w:r>
                      <w:r>
                        <w:rPr>
                          <w:noProof/>
                        </w:rPr>
                        <w:fldChar w:fldCharType="separate"/>
                      </w:r>
                      <w:r w:rsidR="0034416C">
                        <w:rPr>
                          <w:noProof/>
                        </w:rPr>
                        <w:t>8</w:t>
                      </w:r>
                      <w:r>
                        <w:rPr>
                          <w:noProof/>
                        </w:rPr>
                        <w:fldChar w:fldCharType="end"/>
                      </w:r>
                      <w:r>
                        <w:t>:</w:t>
                      </w:r>
                      <w:r w:rsidRPr="00202F44">
                        <w:t xml:space="preserve"> </w:t>
                      </w:r>
                      <w:r>
                        <w:t>Subsequent development contributions assessment (extract)</w:t>
                      </w:r>
                      <w:bookmarkEnd w:id="42"/>
                    </w:p>
                    <w:p w14:paraId="107E7FF1" w14:textId="2AEE03F9" w:rsidR="005A4AFA" w:rsidRDefault="005A4AFA" w:rsidP="00081DC4">
                      <w:pPr>
                        <w:jc w:val="left"/>
                        <w:rPr>
                          <w:rFonts w:cs="Open Sans"/>
                          <w:lang w:val="en-GB" w:eastAsia="zh-TW"/>
                        </w:rPr>
                      </w:pPr>
                      <w:r>
                        <w:rPr>
                          <w:rFonts w:cs="Open Sans"/>
                          <w:noProof/>
                          <w:sz w:val="18"/>
                          <w:szCs w:val="18"/>
                          <w:lang w:val="en-GB" w:eastAsia="zh-TW"/>
                        </w:rPr>
                        <w:drawing>
                          <wp:inline distT="0" distB="0" distL="0" distR="0" wp14:anchorId="081B2D72" wp14:editId="48DB40F6">
                            <wp:extent cx="5582285" cy="227774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10-19 at 2.03.40 PM.jpeg"/>
                                    <pic:cNvPicPr/>
                                  </pic:nvPicPr>
                                  <pic:blipFill>
                                    <a:blip r:embed="rId35"/>
                                    <a:stretch>
                                      <a:fillRect/>
                                    </a:stretch>
                                  </pic:blipFill>
                                  <pic:spPr>
                                    <a:xfrm>
                                      <a:off x="0" y="0"/>
                                      <a:ext cx="5582285" cy="2277745"/>
                                    </a:xfrm>
                                    <a:prstGeom prst="rect">
                                      <a:avLst/>
                                    </a:prstGeom>
                                  </pic:spPr>
                                </pic:pic>
                              </a:graphicData>
                            </a:graphic>
                          </wp:inline>
                        </w:drawing>
                      </w:r>
                    </w:p>
                    <w:p w14:paraId="036BFAF8" w14:textId="77519999" w:rsidR="005A4AFA" w:rsidRPr="00081DC4" w:rsidRDefault="005A4AFA" w:rsidP="00081DC4">
                      <w:pPr>
                        <w:jc w:val="left"/>
                        <w:rPr>
                          <w:rFonts w:cs="Open Sans"/>
                          <w:b/>
                          <w:color w:val="0070C0"/>
                          <w:lang w:val="en-AU"/>
                        </w:rPr>
                      </w:pPr>
                      <w:r w:rsidRPr="00081DC4">
                        <w:rPr>
                          <w:rFonts w:cs="Open Sans"/>
                          <w:lang w:val="en-GB" w:eastAsia="zh-TW"/>
                        </w:rPr>
                        <w:t xml:space="preserve">As illustrated above, amendment of the waterways and land drainage DC from 25 to 50 percent, alongside correcting the discount calculation resulted in a new community and network infrastructure total charge of $524,965.13. This amended total is $734,776.82 lower than the original assessment. </w:t>
                      </w:r>
                      <w:r w:rsidRPr="00081DC4">
                        <w:rPr>
                          <w:rFonts w:cs="Open Sans"/>
                          <w:lang w:val="en-GB" w:eastAsia="zh-TW"/>
                        </w:rPr>
                        <w:br/>
                      </w:r>
                    </w:p>
                    <w:p w14:paraId="6087A980" w14:textId="77777777" w:rsidR="005A4AFA" w:rsidRDefault="005A4AFA" w:rsidP="00B57C8F">
                      <w:pPr>
                        <w:jc w:val="left"/>
                        <w:rPr>
                          <w:rFonts w:cs="Open Sans"/>
                          <w:sz w:val="18"/>
                          <w:szCs w:val="18"/>
                          <w:lang w:val="en-GB" w:eastAsia="zh-TW"/>
                        </w:rPr>
                      </w:pPr>
                    </w:p>
                    <w:p w14:paraId="4F7E7030" w14:textId="77777777" w:rsidR="005A4AFA" w:rsidRDefault="005A4AFA" w:rsidP="00B57C8F">
                      <w:pPr>
                        <w:jc w:val="left"/>
                        <w:rPr>
                          <w:rFonts w:cs="Open Sans"/>
                          <w:sz w:val="18"/>
                          <w:szCs w:val="18"/>
                          <w:lang w:val="en-GB" w:eastAsia="zh-TW"/>
                        </w:rPr>
                      </w:pPr>
                    </w:p>
                    <w:p w14:paraId="40A2AF5D" w14:textId="77777777" w:rsidR="005A4AFA" w:rsidRDefault="005A4AFA" w:rsidP="00B57C8F">
                      <w:pPr>
                        <w:jc w:val="left"/>
                        <w:rPr>
                          <w:rFonts w:cs="Open Sans"/>
                          <w:b/>
                          <w:color w:val="0070C0"/>
                          <w:sz w:val="18"/>
                          <w:szCs w:val="18"/>
                          <w:lang w:val="en-AU"/>
                        </w:rPr>
                      </w:pPr>
                    </w:p>
                    <w:p w14:paraId="3C2E5907" w14:textId="77777777" w:rsidR="005A4AFA" w:rsidRPr="00DD543A" w:rsidRDefault="005A4AFA" w:rsidP="00B57C8F">
                      <w:pPr>
                        <w:jc w:val="left"/>
                        <w:rPr>
                          <w:rFonts w:cs="Open Sans"/>
                          <w:b/>
                          <w:color w:val="0070C0"/>
                          <w:sz w:val="18"/>
                          <w:szCs w:val="18"/>
                          <w:lang w:val="en-AU"/>
                        </w:rPr>
                      </w:pPr>
                    </w:p>
                    <w:p w14:paraId="591A3E01" w14:textId="77777777" w:rsidR="005A4AFA" w:rsidRPr="00B01DA2" w:rsidRDefault="005A4AFA" w:rsidP="00B57C8F">
                      <w:pPr>
                        <w:spacing w:after="320"/>
                        <w:jc w:val="left"/>
                        <w:rPr>
                          <w:rFonts w:eastAsia="Times New Roman" w:cs="Open Sans"/>
                          <w:sz w:val="18"/>
                          <w:szCs w:val="18"/>
                          <w:lang w:val="en-AU"/>
                        </w:rPr>
                      </w:pPr>
                    </w:p>
                  </w:txbxContent>
                </v:textbox>
                <w10:anchorlock/>
              </v:shape>
            </w:pict>
          </mc:Fallback>
        </mc:AlternateContent>
      </w:r>
    </w:p>
    <w:p w14:paraId="4DE06D0F" w14:textId="0C9F7DCA" w:rsidR="00B57C8F" w:rsidRPr="00BC40C6" w:rsidRDefault="0068562A" w:rsidP="00B27604">
      <w:pPr>
        <w:rPr>
          <w:lang w:val="en-AU" w:eastAsia="ja-JP"/>
        </w:rPr>
      </w:pPr>
      <w:r>
        <w:rPr>
          <w:lang w:val="en-GB" w:eastAsia="zh-TW"/>
        </w:rPr>
        <w:t>While the correction process for this particular DC assessment was neither complex nor d</w:t>
      </w:r>
      <w:r w:rsidR="00721A15">
        <w:rPr>
          <w:lang w:val="en-GB" w:eastAsia="zh-TW"/>
        </w:rPr>
        <w:t>isputed, the ability of</w:t>
      </w:r>
      <w:r w:rsidR="00BC40C6">
        <w:rPr>
          <w:lang w:val="en-GB" w:eastAsia="zh-TW"/>
        </w:rPr>
        <w:t xml:space="preserve"> the Council to make errors of this n</w:t>
      </w:r>
      <w:r w:rsidR="0083700B">
        <w:rPr>
          <w:lang w:val="en-GB" w:eastAsia="zh-TW"/>
        </w:rPr>
        <w:t xml:space="preserve">ature with such substantial ramifications does not assure developers of the soundness of this system. </w:t>
      </w:r>
      <w:r w:rsidR="005A5181">
        <w:rPr>
          <w:lang w:val="en-GB" w:eastAsia="zh-TW"/>
        </w:rPr>
        <w:t>Considering these major errors were made in the dis</w:t>
      </w:r>
      <w:r w:rsidR="004B55BB">
        <w:rPr>
          <w:lang w:val="en-GB" w:eastAsia="zh-TW"/>
        </w:rPr>
        <w:t>count application calculation (</w:t>
      </w:r>
      <w:r w:rsidR="005A5181">
        <w:rPr>
          <w:lang w:val="en-GB" w:eastAsia="zh-TW"/>
        </w:rPr>
        <w:t xml:space="preserve">gross DC charge x discount = net DC charge), it would not be unreasonable for the developer to question the reliability of the numerous calculations underlying each charge within the assessment. </w:t>
      </w:r>
    </w:p>
    <w:p w14:paraId="735DA328" w14:textId="13B894F1" w:rsidR="00097C2E" w:rsidRDefault="00721A15" w:rsidP="00B27604">
      <w:pPr>
        <w:rPr>
          <w:lang w:val="en-GB" w:eastAsia="zh-TW"/>
        </w:rPr>
      </w:pPr>
      <w:r>
        <w:rPr>
          <w:lang w:val="en-GB" w:eastAsia="zh-TW"/>
        </w:rPr>
        <w:t xml:space="preserve">Foodstuffs South Island’s </w:t>
      </w:r>
      <w:r w:rsidR="00784CE0">
        <w:rPr>
          <w:lang w:val="en-GB" w:eastAsia="zh-TW"/>
        </w:rPr>
        <w:t>prop</w:t>
      </w:r>
      <w:r w:rsidR="00155FEA">
        <w:rPr>
          <w:lang w:val="en-GB" w:eastAsia="zh-TW"/>
        </w:rPr>
        <w:t>erty development consultant</w:t>
      </w:r>
      <w:r w:rsidR="00784CE0">
        <w:rPr>
          <w:lang w:val="en-GB" w:eastAsia="zh-TW"/>
        </w:rPr>
        <w:t xml:space="preserve"> stated that his experience with </w:t>
      </w:r>
      <w:r w:rsidR="00155FEA">
        <w:rPr>
          <w:lang w:val="en-GB" w:eastAsia="zh-TW"/>
        </w:rPr>
        <w:t xml:space="preserve">unreliable and inaccurate DC charges </w:t>
      </w:r>
      <w:r w:rsidR="00784CE0">
        <w:rPr>
          <w:lang w:val="en-GB" w:eastAsia="zh-TW"/>
        </w:rPr>
        <w:t xml:space="preserve">has </w:t>
      </w:r>
      <w:proofErr w:type="gramStart"/>
      <w:r w:rsidR="00784CE0">
        <w:rPr>
          <w:lang w:val="en-GB" w:eastAsia="zh-TW"/>
        </w:rPr>
        <w:t>lead</w:t>
      </w:r>
      <w:proofErr w:type="gramEnd"/>
      <w:r w:rsidR="00784CE0">
        <w:rPr>
          <w:lang w:val="en-GB" w:eastAsia="zh-TW"/>
        </w:rPr>
        <w:t xml:space="preserve"> him to </w:t>
      </w:r>
      <w:r w:rsidR="00F273B4">
        <w:rPr>
          <w:lang w:val="en-GB" w:eastAsia="zh-TW"/>
        </w:rPr>
        <w:t xml:space="preserve">query almost every DC assessment he receives. </w:t>
      </w:r>
      <w:r w:rsidR="00E0194D">
        <w:rPr>
          <w:lang w:val="en-GB" w:eastAsia="zh-TW"/>
        </w:rPr>
        <w:t xml:space="preserve">While some cases </w:t>
      </w:r>
      <w:r>
        <w:rPr>
          <w:lang w:val="en-GB" w:eastAsia="zh-TW"/>
        </w:rPr>
        <w:t>may involve simple fixes (like C</w:t>
      </w:r>
      <w:r w:rsidR="00403214">
        <w:rPr>
          <w:lang w:val="en-GB" w:eastAsia="zh-TW"/>
        </w:rPr>
        <w:t xml:space="preserve">ase </w:t>
      </w:r>
      <w:r w:rsidR="002A69D4">
        <w:rPr>
          <w:lang w:val="en-GB" w:eastAsia="zh-TW"/>
        </w:rPr>
        <w:t>s</w:t>
      </w:r>
      <w:r w:rsidR="00403214">
        <w:rPr>
          <w:lang w:val="en-GB" w:eastAsia="zh-TW"/>
        </w:rPr>
        <w:t>tudy 5</w:t>
      </w:r>
      <w:r w:rsidR="00E0194D">
        <w:rPr>
          <w:lang w:val="en-GB" w:eastAsia="zh-TW"/>
        </w:rPr>
        <w:t xml:space="preserve"> above), others include errors in underlying calculations, which </w:t>
      </w:r>
      <w:r w:rsidR="009D0988">
        <w:rPr>
          <w:lang w:val="en-GB" w:eastAsia="zh-TW"/>
        </w:rPr>
        <w:t>can require</w:t>
      </w:r>
      <w:r w:rsidR="00E0194D">
        <w:rPr>
          <w:lang w:val="en-GB" w:eastAsia="zh-TW"/>
        </w:rPr>
        <w:t xml:space="preserve"> a high level of familiarity and understanding of the DC policy</w:t>
      </w:r>
      <w:r w:rsidR="009D0988">
        <w:rPr>
          <w:lang w:val="en-GB" w:eastAsia="zh-TW"/>
        </w:rPr>
        <w:t xml:space="preserve"> to uncover</w:t>
      </w:r>
      <w:r w:rsidR="004B55BB">
        <w:rPr>
          <w:lang w:val="en-GB" w:eastAsia="zh-TW"/>
        </w:rPr>
        <w:t>. Foodstuff</w:t>
      </w:r>
      <w:r w:rsidR="00E0194D">
        <w:rPr>
          <w:lang w:val="en-GB" w:eastAsia="zh-TW"/>
        </w:rPr>
        <w:t>s</w:t>
      </w:r>
      <w:r w:rsidR="004B55BB">
        <w:rPr>
          <w:lang w:val="en-GB" w:eastAsia="zh-TW"/>
        </w:rPr>
        <w:t>’</w:t>
      </w:r>
      <w:r w:rsidR="00E0194D">
        <w:rPr>
          <w:lang w:val="en-GB" w:eastAsia="zh-TW"/>
        </w:rPr>
        <w:t xml:space="preserve"> consultant stated that only through extensive experience </w:t>
      </w:r>
      <w:r w:rsidR="008974BB">
        <w:rPr>
          <w:lang w:val="en-GB" w:eastAsia="zh-TW"/>
        </w:rPr>
        <w:t>analysing different</w:t>
      </w:r>
      <w:r w:rsidR="00E0194D">
        <w:rPr>
          <w:lang w:val="en-GB" w:eastAsia="zh-TW"/>
        </w:rPr>
        <w:t xml:space="preserve"> DC assessments in Christchurch City could he reach this level of understanding</w:t>
      </w:r>
      <w:r w:rsidR="008974BB">
        <w:rPr>
          <w:lang w:val="en-GB" w:eastAsia="zh-TW"/>
        </w:rPr>
        <w:t>. He now has generated his own spreadsheets replicating CCC</w:t>
      </w:r>
      <w:r>
        <w:rPr>
          <w:lang w:val="en-GB" w:eastAsia="zh-TW"/>
        </w:rPr>
        <w:t>’</w:t>
      </w:r>
      <w:r w:rsidR="008974BB">
        <w:rPr>
          <w:lang w:val="en-GB" w:eastAsia="zh-TW"/>
        </w:rPr>
        <w:t>s calculation methods. For each assessment received by a client, he will input the specifications of the d</w:t>
      </w:r>
      <w:r>
        <w:rPr>
          <w:lang w:val="en-GB" w:eastAsia="zh-TW"/>
        </w:rPr>
        <w:t>evelopment into his spreadsheet</w:t>
      </w:r>
      <w:r w:rsidR="008974BB">
        <w:rPr>
          <w:lang w:val="en-GB" w:eastAsia="zh-TW"/>
        </w:rPr>
        <w:t xml:space="preserve"> </w:t>
      </w:r>
      <w:r w:rsidR="00097C2E">
        <w:rPr>
          <w:lang w:val="en-GB" w:eastAsia="zh-TW"/>
        </w:rPr>
        <w:t xml:space="preserve">and cross-reference the calculations. </w:t>
      </w:r>
    </w:p>
    <w:p w14:paraId="5E46707C" w14:textId="6B0B433B" w:rsidR="00097C2E" w:rsidRDefault="00097C2E" w:rsidP="00B27604">
      <w:pPr>
        <w:rPr>
          <w:lang w:val="en-GB" w:eastAsia="zh-TW"/>
        </w:rPr>
      </w:pPr>
      <w:r>
        <w:rPr>
          <w:lang w:val="en-GB" w:eastAsia="zh-TW"/>
        </w:rPr>
        <w:t>Foodstuffs</w:t>
      </w:r>
      <w:r w:rsidR="00721A15">
        <w:rPr>
          <w:lang w:val="en-GB" w:eastAsia="zh-TW"/>
        </w:rPr>
        <w:t>’</w:t>
      </w:r>
      <w:r>
        <w:rPr>
          <w:lang w:val="en-GB" w:eastAsia="zh-TW"/>
        </w:rPr>
        <w:t xml:space="preserve"> property consultant stated that few developers </w:t>
      </w:r>
      <w:r w:rsidR="004B55BB">
        <w:rPr>
          <w:lang w:val="en-GB" w:eastAsia="zh-TW"/>
        </w:rPr>
        <w:t xml:space="preserve">he is aware of </w:t>
      </w:r>
      <w:r>
        <w:rPr>
          <w:lang w:val="en-GB" w:eastAsia="zh-TW"/>
        </w:rPr>
        <w:t xml:space="preserve">have the scale or the resources to reach this level of familiarity with complex development contributions charges. He noted that the majority of developers </w:t>
      </w:r>
      <w:r w:rsidR="004B55BB">
        <w:rPr>
          <w:lang w:val="en-GB" w:eastAsia="zh-TW"/>
        </w:rPr>
        <w:t xml:space="preserve">he knows </w:t>
      </w:r>
      <w:r>
        <w:rPr>
          <w:lang w:val="en-GB" w:eastAsia="zh-TW"/>
        </w:rPr>
        <w:t xml:space="preserve">will receive </w:t>
      </w:r>
      <w:r w:rsidR="000F226E">
        <w:rPr>
          <w:lang w:val="en-GB" w:eastAsia="zh-TW"/>
        </w:rPr>
        <w:t>DC</w:t>
      </w:r>
      <w:r w:rsidR="00721A15">
        <w:rPr>
          <w:lang w:val="en-GB" w:eastAsia="zh-TW"/>
        </w:rPr>
        <w:t xml:space="preserve"> assessments</w:t>
      </w:r>
      <w:r>
        <w:rPr>
          <w:lang w:val="en-GB" w:eastAsia="zh-TW"/>
        </w:rPr>
        <w:t xml:space="preserve"> and though they do not understand the calculations that lead to the final charges, </w:t>
      </w:r>
      <w:r w:rsidR="00B46011">
        <w:rPr>
          <w:lang w:val="en-GB" w:eastAsia="zh-TW"/>
        </w:rPr>
        <w:t>th</w:t>
      </w:r>
      <w:r w:rsidR="00721A15">
        <w:rPr>
          <w:lang w:val="en-GB" w:eastAsia="zh-TW"/>
        </w:rPr>
        <w:t>ey may</w:t>
      </w:r>
      <w:r w:rsidR="00B46011">
        <w:rPr>
          <w:lang w:val="en-GB" w:eastAsia="zh-TW"/>
        </w:rPr>
        <w:t xml:space="preserve"> quickly </w:t>
      </w:r>
      <w:r w:rsidR="00CF16F8">
        <w:rPr>
          <w:lang w:val="en-GB" w:eastAsia="zh-TW"/>
        </w:rPr>
        <w:t xml:space="preserve">check the </w:t>
      </w:r>
      <w:r w:rsidR="00721A15">
        <w:rPr>
          <w:lang w:val="en-GB" w:eastAsia="zh-TW"/>
        </w:rPr>
        <w:t xml:space="preserve">required figures shown on the invoice </w:t>
      </w:r>
      <w:r w:rsidR="00CF16F8">
        <w:rPr>
          <w:lang w:val="en-GB" w:eastAsia="zh-TW"/>
        </w:rPr>
        <w:t>and pay the charges</w:t>
      </w:r>
      <w:r w:rsidR="00B46011">
        <w:rPr>
          <w:lang w:val="en-GB" w:eastAsia="zh-TW"/>
        </w:rPr>
        <w:t>,</w:t>
      </w:r>
      <w:r w:rsidR="00CF16F8">
        <w:rPr>
          <w:lang w:val="en-GB" w:eastAsia="zh-TW"/>
        </w:rPr>
        <w:t xml:space="preserve"> in order to get the code of compliance </w:t>
      </w:r>
      <w:r w:rsidR="00721A15">
        <w:rPr>
          <w:lang w:val="en-GB" w:eastAsia="zh-TW"/>
        </w:rPr>
        <w:t>so their</w:t>
      </w:r>
      <w:r w:rsidR="00CF16F8">
        <w:rPr>
          <w:lang w:val="en-GB" w:eastAsia="zh-TW"/>
        </w:rPr>
        <w:t xml:space="preserve"> development</w:t>
      </w:r>
      <w:r w:rsidR="00721A15">
        <w:rPr>
          <w:lang w:val="en-GB" w:eastAsia="zh-TW"/>
        </w:rPr>
        <w:t xml:space="preserve"> can proceed</w:t>
      </w:r>
      <w:r w:rsidR="00CF16F8">
        <w:rPr>
          <w:lang w:val="en-GB" w:eastAsia="zh-TW"/>
        </w:rPr>
        <w:t xml:space="preserve">. </w:t>
      </w:r>
    </w:p>
    <w:p w14:paraId="54FE31C5" w14:textId="3E674DA6" w:rsidR="00CF16F8" w:rsidRDefault="00CF16F8" w:rsidP="00B27604">
      <w:pPr>
        <w:rPr>
          <w:lang w:val="en-GB" w:eastAsia="zh-TW"/>
        </w:rPr>
      </w:pPr>
      <w:r>
        <w:rPr>
          <w:lang w:val="en-GB" w:eastAsia="zh-TW"/>
        </w:rPr>
        <w:t>Foodstuffs South Island’s property consultant has built up a strong level of understanding of how CCC’s DC policy operates,</w:t>
      </w:r>
      <w:r w:rsidR="00090FCF">
        <w:rPr>
          <w:lang w:val="en-GB" w:eastAsia="zh-TW"/>
        </w:rPr>
        <w:t xml:space="preserve"> however</w:t>
      </w:r>
      <w:r>
        <w:rPr>
          <w:lang w:val="en-GB" w:eastAsia="zh-TW"/>
        </w:rPr>
        <w:t xml:space="preserve"> he stated that the same does not apply for the DC Policies of Selwyn and Queenstown. </w:t>
      </w:r>
      <w:r w:rsidR="00067F31">
        <w:rPr>
          <w:lang w:val="en-GB" w:eastAsia="zh-TW"/>
        </w:rPr>
        <w:t>Despite his understanding of DC charging by CCC, he stated that t</w:t>
      </w:r>
      <w:r>
        <w:rPr>
          <w:lang w:val="en-GB" w:eastAsia="zh-TW"/>
        </w:rPr>
        <w:t>he calculations underlying Selwyn</w:t>
      </w:r>
      <w:r w:rsidR="00067F31">
        <w:rPr>
          <w:lang w:val="en-GB" w:eastAsia="zh-TW"/>
        </w:rPr>
        <w:t xml:space="preserve"> District Council’s DC Policy are</w:t>
      </w:r>
      <w:r>
        <w:rPr>
          <w:lang w:val="en-GB" w:eastAsia="zh-TW"/>
        </w:rPr>
        <w:t xml:space="preserve"> exceedingly difficult </w:t>
      </w:r>
      <w:r w:rsidR="00067F31">
        <w:rPr>
          <w:lang w:val="en-GB" w:eastAsia="zh-TW"/>
        </w:rPr>
        <w:t>for</w:t>
      </w:r>
      <w:r>
        <w:rPr>
          <w:lang w:val="en-GB" w:eastAsia="zh-TW"/>
        </w:rPr>
        <w:t xml:space="preserve"> him to understand. As for Queenstown Lakes District Council, he stated that it took him four days of analysing the DC policy alongside the ‘Detailed Supporting Document’ to understand </w:t>
      </w:r>
      <w:r w:rsidR="00806919">
        <w:rPr>
          <w:lang w:val="en-GB" w:eastAsia="zh-TW"/>
        </w:rPr>
        <w:t>how a portion of DC charges</w:t>
      </w:r>
      <w:r w:rsidR="00446FC3">
        <w:rPr>
          <w:lang w:val="en-GB" w:eastAsia="zh-TW"/>
        </w:rPr>
        <w:t xml:space="preserve"> were calculated, and whether or not</w:t>
      </w:r>
      <w:r w:rsidR="00067F31">
        <w:rPr>
          <w:lang w:val="en-GB" w:eastAsia="zh-TW"/>
        </w:rPr>
        <w:t xml:space="preserve"> these charges</w:t>
      </w:r>
      <w:r w:rsidR="00446FC3">
        <w:rPr>
          <w:lang w:val="en-GB" w:eastAsia="zh-TW"/>
        </w:rPr>
        <w:t xml:space="preserve"> had been </w:t>
      </w:r>
      <w:r w:rsidR="00411490">
        <w:rPr>
          <w:lang w:val="en-GB" w:eastAsia="zh-TW"/>
        </w:rPr>
        <w:t xml:space="preserve">calculated </w:t>
      </w:r>
      <w:r w:rsidR="00446FC3">
        <w:rPr>
          <w:lang w:val="en-GB" w:eastAsia="zh-TW"/>
        </w:rPr>
        <w:t>correctly.</w:t>
      </w:r>
    </w:p>
    <w:p w14:paraId="66445D88" w14:textId="70A7B729" w:rsidR="00446FC3" w:rsidRDefault="00446FC3" w:rsidP="00471B97">
      <w:pPr>
        <w:spacing w:after="240"/>
        <w:rPr>
          <w:lang w:val="en-GB" w:eastAsia="zh-TW"/>
        </w:rPr>
      </w:pPr>
      <w:r>
        <w:rPr>
          <w:lang w:val="en-GB" w:eastAsia="zh-TW"/>
        </w:rPr>
        <w:t>We see the following major issues with this current situation:</w:t>
      </w:r>
    </w:p>
    <w:p w14:paraId="6D2A826C" w14:textId="4BC1A927" w:rsidR="00446FC3" w:rsidRDefault="00446FC3" w:rsidP="00471B97">
      <w:pPr>
        <w:pStyle w:val="ListParagraph"/>
        <w:numPr>
          <w:ilvl w:val="0"/>
          <w:numId w:val="14"/>
        </w:numPr>
        <w:spacing w:after="120" w:line="276" w:lineRule="auto"/>
        <w:ind w:left="714" w:hanging="357"/>
        <w:contextualSpacing w:val="0"/>
        <w:rPr>
          <w:lang w:val="en-GB" w:eastAsia="zh-TW"/>
        </w:rPr>
      </w:pPr>
      <w:r>
        <w:rPr>
          <w:lang w:val="en-GB" w:eastAsia="zh-TW"/>
        </w:rPr>
        <w:lastRenderedPageBreak/>
        <w:t>the prevalence of mistakes like these in DC assessments reduces developer</w:t>
      </w:r>
      <w:r w:rsidR="00FE513A">
        <w:rPr>
          <w:lang w:val="en-GB" w:eastAsia="zh-TW"/>
        </w:rPr>
        <w:t>s’</w:t>
      </w:r>
      <w:r>
        <w:rPr>
          <w:lang w:val="en-GB" w:eastAsia="zh-TW"/>
        </w:rPr>
        <w:t xml:space="preserve"> trust in the system;</w:t>
      </w:r>
    </w:p>
    <w:p w14:paraId="0437060D" w14:textId="22EC4D47" w:rsidR="008974BB" w:rsidRDefault="00446FC3" w:rsidP="00471B97">
      <w:pPr>
        <w:pStyle w:val="ListParagraph"/>
        <w:numPr>
          <w:ilvl w:val="0"/>
          <w:numId w:val="14"/>
        </w:numPr>
        <w:spacing w:after="120" w:line="276" w:lineRule="auto"/>
        <w:ind w:left="714" w:hanging="357"/>
        <w:contextualSpacing w:val="0"/>
        <w:rPr>
          <w:lang w:val="en-GB" w:eastAsia="zh-TW"/>
        </w:rPr>
      </w:pPr>
      <w:r>
        <w:rPr>
          <w:lang w:val="en-GB" w:eastAsia="zh-TW"/>
        </w:rPr>
        <w:t xml:space="preserve">while large developers may have the resources to </w:t>
      </w:r>
      <w:r w:rsidR="00A470F4">
        <w:rPr>
          <w:lang w:val="en-GB" w:eastAsia="zh-TW"/>
        </w:rPr>
        <w:t>employ the assistance of</w:t>
      </w:r>
      <w:r>
        <w:rPr>
          <w:lang w:val="en-GB" w:eastAsia="zh-TW"/>
        </w:rPr>
        <w:t xml:space="preserve"> property consultants who have built up understanding of the respective DC policy, small – medium sized developers are </w:t>
      </w:r>
      <w:r w:rsidR="00A470F4">
        <w:rPr>
          <w:lang w:val="en-GB" w:eastAsia="zh-TW"/>
        </w:rPr>
        <w:t xml:space="preserve">disadvantaged through lack of </w:t>
      </w:r>
      <w:r>
        <w:rPr>
          <w:lang w:val="en-GB" w:eastAsia="zh-TW"/>
        </w:rPr>
        <w:t>resourc</w:t>
      </w:r>
      <w:r w:rsidR="00A470F4">
        <w:rPr>
          <w:lang w:val="en-GB" w:eastAsia="zh-TW"/>
        </w:rPr>
        <w:t>es to do so;</w:t>
      </w:r>
      <w:r w:rsidR="00FE513A">
        <w:rPr>
          <w:lang w:val="en-GB" w:eastAsia="zh-TW"/>
        </w:rPr>
        <w:t xml:space="preserve"> and</w:t>
      </w:r>
    </w:p>
    <w:p w14:paraId="06A66371" w14:textId="22CC8977" w:rsidR="008974BB" w:rsidRPr="00C12974" w:rsidRDefault="005C1A14" w:rsidP="00471B97">
      <w:pPr>
        <w:pStyle w:val="ListParagraph"/>
        <w:numPr>
          <w:ilvl w:val="0"/>
          <w:numId w:val="14"/>
        </w:numPr>
        <w:spacing w:after="240" w:line="276" w:lineRule="auto"/>
        <w:ind w:left="714" w:hanging="357"/>
        <w:contextualSpacing w:val="0"/>
        <w:rPr>
          <w:lang w:val="en-GB" w:eastAsia="zh-TW"/>
        </w:rPr>
      </w:pPr>
      <w:r>
        <w:rPr>
          <w:lang w:val="en-GB" w:eastAsia="zh-TW"/>
        </w:rPr>
        <w:t xml:space="preserve">it requires significant time and resources to become familiar </w:t>
      </w:r>
      <w:r w:rsidR="00C12974">
        <w:rPr>
          <w:lang w:val="en-GB" w:eastAsia="zh-TW"/>
        </w:rPr>
        <w:t>(to the point that underlying calculation errors</w:t>
      </w:r>
      <w:r w:rsidR="00FE513A">
        <w:rPr>
          <w:lang w:val="en-GB" w:eastAsia="zh-TW"/>
        </w:rPr>
        <w:t xml:space="preserve"> can be identified</w:t>
      </w:r>
      <w:r w:rsidR="00C12974">
        <w:rPr>
          <w:lang w:val="en-GB" w:eastAsia="zh-TW"/>
        </w:rPr>
        <w:t xml:space="preserve">) </w:t>
      </w:r>
      <w:r>
        <w:rPr>
          <w:lang w:val="en-GB" w:eastAsia="zh-TW"/>
        </w:rPr>
        <w:t xml:space="preserve">with DC policies in multiple districts, </w:t>
      </w:r>
      <w:r w:rsidR="00C12974">
        <w:rPr>
          <w:lang w:val="en-GB" w:eastAsia="zh-TW"/>
        </w:rPr>
        <w:t>and even more resources to participate in the submission stages of DC policies across multiple districts</w:t>
      </w:r>
      <w:r w:rsidR="00FE513A">
        <w:rPr>
          <w:lang w:val="en-GB" w:eastAsia="zh-TW"/>
        </w:rPr>
        <w:t>.</w:t>
      </w:r>
    </w:p>
    <w:p w14:paraId="0AF8AB27" w14:textId="7CE76D12" w:rsidR="004412CF" w:rsidRDefault="00C12974" w:rsidP="00FF582E">
      <w:pPr>
        <w:rPr>
          <w:lang w:val="en-GB" w:eastAsia="zh-TW"/>
        </w:rPr>
      </w:pPr>
      <w:r>
        <w:rPr>
          <w:lang w:val="en-GB" w:eastAsia="zh-TW"/>
        </w:rPr>
        <w:t xml:space="preserve">Another comment from Foodstuffs South Island’s property consultant was that the level of receptiveness </w:t>
      </w:r>
      <w:r w:rsidR="001C34BE">
        <w:rPr>
          <w:lang w:val="en-GB" w:eastAsia="zh-TW"/>
        </w:rPr>
        <w:t xml:space="preserve">and </w:t>
      </w:r>
      <w:r>
        <w:rPr>
          <w:lang w:val="en-GB" w:eastAsia="zh-TW"/>
        </w:rPr>
        <w:t xml:space="preserve">responsiveness to a query with a DC assessment often depends strongly on the </w:t>
      </w:r>
      <w:r w:rsidR="00FE513A">
        <w:rPr>
          <w:lang w:val="en-GB" w:eastAsia="zh-TW"/>
        </w:rPr>
        <w:t xml:space="preserve">strength of </w:t>
      </w:r>
      <w:r>
        <w:rPr>
          <w:lang w:val="en-GB" w:eastAsia="zh-TW"/>
        </w:rPr>
        <w:t xml:space="preserve">a relationship between </w:t>
      </w:r>
      <w:r w:rsidR="001C34BE">
        <w:rPr>
          <w:lang w:val="en-GB" w:eastAsia="zh-TW"/>
        </w:rPr>
        <w:t xml:space="preserve">the developer and the </w:t>
      </w:r>
      <w:r w:rsidR="00FE513A">
        <w:rPr>
          <w:lang w:val="en-GB" w:eastAsia="zh-TW"/>
        </w:rPr>
        <w:t xml:space="preserve">particular </w:t>
      </w:r>
      <w:r w:rsidR="001C34BE">
        <w:rPr>
          <w:lang w:val="en-GB" w:eastAsia="zh-TW"/>
        </w:rPr>
        <w:t>council</w:t>
      </w:r>
      <w:r w:rsidR="00FE513A">
        <w:rPr>
          <w:lang w:val="en-GB" w:eastAsia="zh-TW"/>
        </w:rPr>
        <w:t>’s staff</w:t>
      </w:r>
      <w:r w:rsidR="00007EF3">
        <w:rPr>
          <w:lang w:val="en-GB" w:eastAsia="zh-TW"/>
        </w:rPr>
        <w:t xml:space="preserve"> </w:t>
      </w:r>
      <w:r w:rsidR="001C34BE">
        <w:rPr>
          <w:lang w:val="en-GB" w:eastAsia="zh-TW"/>
        </w:rPr>
        <w:t xml:space="preserve">member. Issues that could be resolved over a ‘coffee and a catch up’ in some instances may go all the way to a formal objection in others. </w:t>
      </w:r>
    </w:p>
    <w:p w14:paraId="3A6FBA04" w14:textId="33FADA77" w:rsidR="003B57C0" w:rsidRPr="00F355F6" w:rsidRDefault="00863FBB">
      <w:pPr>
        <w:rPr>
          <w:lang w:val="en-GB" w:eastAsia="zh-TW"/>
        </w:rPr>
      </w:pPr>
      <w:r>
        <w:rPr>
          <w:lang w:val="en-GB" w:eastAsia="zh-TW"/>
        </w:rPr>
        <w:t xml:space="preserve">Overall, we </w:t>
      </w:r>
      <w:r w:rsidR="00FE513A">
        <w:rPr>
          <w:lang w:val="en-GB" w:eastAsia="zh-TW"/>
        </w:rPr>
        <w:t>appreciate</w:t>
      </w:r>
      <w:r>
        <w:rPr>
          <w:lang w:val="en-GB" w:eastAsia="zh-TW"/>
        </w:rPr>
        <w:t xml:space="preserve"> that DC charges are complex in nature and that no system can be entirely free of </w:t>
      </w:r>
      <w:r w:rsidR="00FE513A">
        <w:rPr>
          <w:lang w:val="en-GB" w:eastAsia="zh-TW"/>
        </w:rPr>
        <w:t xml:space="preserve">the </w:t>
      </w:r>
      <w:r w:rsidR="004412CF">
        <w:rPr>
          <w:lang w:val="en-GB" w:eastAsia="zh-TW"/>
        </w:rPr>
        <w:t xml:space="preserve">potential for </w:t>
      </w:r>
      <w:r>
        <w:rPr>
          <w:lang w:val="en-GB" w:eastAsia="zh-TW"/>
        </w:rPr>
        <w:t xml:space="preserve">human error. </w:t>
      </w:r>
      <w:r w:rsidR="00FE513A">
        <w:rPr>
          <w:lang w:val="en-GB" w:eastAsia="zh-TW"/>
        </w:rPr>
        <w:t>The</w:t>
      </w:r>
      <w:r w:rsidR="004412CF">
        <w:rPr>
          <w:lang w:val="en-GB" w:eastAsia="zh-TW"/>
        </w:rPr>
        <w:t xml:space="preserve"> question is whether the system could b</w:t>
      </w:r>
      <w:r w:rsidR="00FE513A">
        <w:rPr>
          <w:lang w:val="en-GB" w:eastAsia="zh-TW"/>
        </w:rPr>
        <w:t>e improved in a way that minimis</w:t>
      </w:r>
      <w:r w:rsidR="004412CF">
        <w:rPr>
          <w:lang w:val="en-GB" w:eastAsia="zh-TW"/>
        </w:rPr>
        <w:t>es this potential for human error</w:t>
      </w:r>
      <w:r w:rsidR="00FE513A">
        <w:rPr>
          <w:lang w:val="en-GB" w:eastAsia="zh-TW"/>
        </w:rPr>
        <w:t>.</w:t>
      </w:r>
    </w:p>
    <w:p w14:paraId="67662A41" w14:textId="39B36605" w:rsidR="003B57C0" w:rsidRDefault="00661EAA" w:rsidP="003B57C0">
      <w:pPr>
        <w:pStyle w:val="Heading2"/>
      </w:pPr>
      <w:bookmarkStart w:id="43" w:name="_Toc533411201"/>
      <w:r>
        <w:t>Time</w:t>
      </w:r>
      <w:r w:rsidR="003B57C0">
        <w:t xml:space="preserve"> of charging</w:t>
      </w:r>
      <w:bookmarkEnd w:id="43"/>
    </w:p>
    <w:p w14:paraId="556FDCE6" w14:textId="55504572" w:rsidR="003B57C0" w:rsidRDefault="00627B3B" w:rsidP="003B57C0">
      <w:pPr>
        <w:rPr>
          <w:lang w:val="en-GB" w:eastAsia="zh-TW"/>
        </w:rPr>
      </w:pPr>
      <w:r>
        <w:rPr>
          <w:lang w:val="en-GB" w:eastAsia="zh-TW"/>
        </w:rPr>
        <w:t>Section 198 of the LGA</w:t>
      </w:r>
      <w:r w:rsidR="003B57C0">
        <w:rPr>
          <w:lang w:val="en-GB" w:eastAsia="zh-TW"/>
        </w:rPr>
        <w:t xml:space="preserve"> </w:t>
      </w:r>
      <w:r w:rsidR="002A1B4C">
        <w:rPr>
          <w:lang w:val="en-GB" w:eastAsia="zh-TW"/>
        </w:rPr>
        <w:t>establishes that</w:t>
      </w:r>
      <w:r w:rsidR="003B57C0">
        <w:rPr>
          <w:lang w:val="en-GB" w:eastAsia="zh-TW"/>
        </w:rPr>
        <w:t xml:space="preserve"> local councils are able to charge DCs at the resource consent, building consent or service connection stage of dev</w:t>
      </w:r>
      <w:r w:rsidR="003B57C0" w:rsidRPr="003A223C">
        <w:rPr>
          <w:lang w:val="en-GB" w:eastAsia="zh-TW"/>
        </w:rPr>
        <w:t>elopment.</w:t>
      </w:r>
      <w:r w:rsidR="003B57C0" w:rsidRPr="003A223C">
        <w:rPr>
          <w:rStyle w:val="FootnoteReference"/>
          <w:sz w:val="20"/>
          <w:lang w:val="en-GB" w:eastAsia="zh-TW"/>
        </w:rPr>
        <w:footnoteReference w:id="17"/>
      </w:r>
      <w:r w:rsidR="003B57C0" w:rsidRPr="003A223C">
        <w:rPr>
          <w:lang w:val="en-GB" w:eastAsia="zh-TW"/>
        </w:rPr>
        <w:t xml:space="preserve"> In Foodstuffs</w:t>
      </w:r>
      <w:r w:rsidR="003B57C0">
        <w:rPr>
          <w:lang w:val="en-GB" w:eastAsia="zh-TW"/>
        </w:rPr>
        <w:t xml:space="preserve"> experience, it is common for developers to be charged at the building consent phase, whereby DC payment is required in order to gain Code of Compli</w:t>
      </w:r>
      <w:r w:rsidR="00BD61F5">
        <w:rPr>
          <w:lang w:val="en-GB" w:eastAsia="zh-TW"/>
        </w:rPr>
        <w:t>ance</w:t>
      </w:r>
      <w:r w:rsidR="002E5E51">
        <w:rPr>
          <w:lang w:val="en-GB" w:eastAsia="zh-TW"/>
        </w:rPr>
        <w:t xml:space="preserve"> (</w:t>
      </w:r>
      <w:proofErr w:type="spellStart"/>
      <w:r w:rsidR="002E5E51">
        <w:rPr>
          <w:lang w:val="en-GB" w:eastAsia="zh-TW"/>
        </w:rPr>
        <w:t>CoC</w:t>
      </w:r>
      <w:proofErr w:type="spellEnd"/>
      <w:r w:rsidR="002E5E51">
        <w:rPr>
          <w:lang w:val="en-GB" w:eastAsia="zh-TW"/>
        </w:rPr>
        <w:t>)</w:t>
      </w:r>
      <w:r w:rsidR="003B57C0">
        <w:rPr>
          <w:lang w:val="en-GB" w:eastAsia="zh-TW"/>
        </w:rPr>
        <w:t xml:space="preserve"> for the development. For commercial developments, once the </w:t>
      </w:r>
      <w:proofErr w:type="spellStart"/>
      <w:r w:rsidR="003B57C0">
        <w:rPr>
          <w:lang w:val="en-GB" w:eastAsia="zh-TW"/>
        </w:rPr>
        <w:t>C</w:t>
      </w:r>
      <w:r w:rsidR="00D03705">
        <w:rPr>
          <w:lang w:val="en-GB" w:eastAsia="zh-TW"/>
        </w:rPr>
        <w:t>o</w:t>
      </w:r>
      <w:r w:rsidR="003B57C0">
        <w:rPr>
          <w:lang w:val="en-GB" w:eastAsia="zh-TW"/>
        </w:rPr>
        <w:t>C</w:t>
      </w:r>
      <w:proofErr w:type="spellEnd"/>
      <w:r w:rsidR="003B57C0">
        <w:rPr>
          <w:lang w:val="en-GB" w:eastAsia="zh-TW"/>
        </w:rPr>
        <w:t xml:space="preserve"> is received, doors can be opened</w:t>
      </w:r>
      <w:r w:rsidR="00007EF3">
        <w:rPr>
          <w:lang w:val="en-GB" w:eastAsia="zh-TW"/>
        </w:rPr>
        <w:t>,</w:t>
      </w:r>
      <w:r w:rsidR="003B57C0">
        <w:rPr>
          <w:lang w:val="en-GB" w:eastAsia="zh-TW"/>
        </w:rPr>
        <w:t xml:space="preserve"> and business begins. </w:t>
      </w:r>
    </w:p>
    <w:p w14:paraId="3F7A4E54" w14:textId="70318B14" w:rsidR="003B57C0" w:rsidRDefault="003B57C0" w:rsidP="003B57C0">
      <w:pPr>
        <w:rPr>
          <w:lang w:val="en-GB" w:eastAsia="zh-TW"/>
        </w:rPr>
      </w:pPr>
      <w:r>
        <w:rPr>
          <w:lang w:val="en-GB" w:eastAsia="zh-TW"/>
        </w:rPr>
        <w:t xml:space="preserve">Our discussions with Foodstuffs have revealed that the timing of DC charging, particularly in the final building consent phase, creates </w:t>
      </w:r>
      <w:r w:rsidR="00D03705">
        <w:rPr>
          <w:lang w:val="en-GB" w:eastAsia="zh-TW"/>
        </w:rPr>
        <w:t xml:space="preserve">important </w:t>
      </w:r>
      <w:r>
        <w:rPr>
          <w:lang w:val="en-GB" w:eastAsia="zh-TW"/>
        </w:rPr>
        <w:t xml:space="preserve">issues relating to </w:t>
      </w:r>
      <w:r w:rsidR="00D03705">
        <w:rPr>
          <w:lang w:val="en-GB" w:eastAsia="zh-TW"/>
        </w:rPr>
        <w:t>the</w:t>
      </w:r>
      <w:r>
        <w:rPr>
          <w:lang w:val="en-GB" w:eastAsia="zh-TW"/>
        </w:rPr>
        <w:t xml:space="preserve"> balance</w:t>
      </w:r>
      <w:r w:rsidR="00D03705">
        <w:rPr>
          <w:lang w:val="en-GB" w:eastAsia="zh-TW"/>
        </w:rPr>
        <w:t xml:space="preserve"> of power between the council and the developer</w:t>
      </w:r>
      <w:r>
        <w:rPr>
          <w:lang w:val="en-GB" w:eastAsia="zh-TW"/>
        </w:rPr>
        <w:t xml:space="preserve"> and budget forecasting. This section elaborates on these two issues.</w:t>
      </w:r>
    </w:p>
    <w:p w14:paraId="521BC023" w14:textId="77777777" w:rsidR="003B57C0" w:rsidRPr="00173B02" w:rsidRDefault="003B57C0" w:rsidP="003B57C0">
      <w:pPr>
        <w:pStyle w:val="Heading3"/>
        <w:rPr>
          <w:lang w:val="en-GB" w:eastAsia="zh-TW"/>
        </w:rPr>
      </w:pPr>
      <w:r>
        <w:rPr>
          <w:lang w:val="en-GB" w:eastAsia="zh-TW"/>
        </w:rPr>
        <w:t xml:space="preserve">Power imbalance </w:t>
      </w:r>
    </w:p>
    <w:p w14:paraId="62003BE1" w14:textId="3911E780" w:rsidR="001F4D0D" w:rsidRDefault="003B57C0" w:rsidP="003B57C0">
      <w:pPr>
        <w:rPr>
          <w:lang w:val="en-AU" w:eastAsia="ja-JP"/>
        </w:rPr>
      </w:pPr>
      <w:r>
        <w:rPr>
          <w:lang w:val="en-GB" w:eastAsia="zh-TW"/>
        </w:rPr>
        <w:t>Foodstuffs has found that with the current timing of DC charges, the developer</w:t>
      </w:r>
      <w:r w:rsidR="003E6E84">
        <w:rPr>
          <w:lang w:val="en-GB" w:eastAsia="zh-TW"/>
        </w:rPr>
        <w:t xml:space="preserve"> has an unreasonably short time</w:t>
      </w:r>
      <w:r>
        <w:rPr>
          <w:lang w:val="en-GB" w:eastAsia="zh-TW"/>
        </w:rPr>
        <w:t xml:space="preserve">frame </w:t>
      </w:r>
      <w:r>
        <w:rPr>
          <w:lang w:val="en-AU" w:eastAsia="ja-JP"/>
        </w:rPr>
        <w:t xml:space="preserve">to discuss and query DC charges. </w:t>
      </w:r>
      <w:r w:rsidR="002A1B4C">
        <w:rPr>
          <w:lang w:val="en-AU" w:eastAsia="ja-JP"/>
        </w:rPr>
        <w:t xml:space="preserve">As has been established in section 4.3 and 4.4 above, </w:t>
      </w:r>
      <w:r w:rsidR="00193AF2">
        <w:rPr>
          <w:lang w:val="en-AU" w:eastAsia="ja-JP"/>
        </w:rPr>
        <w:t xml:space="preserve">interpreting and understanding DC charges and their methodology can be complex and time consuming. </w:t>
      </w:r>
      <w:r w:rsidR="00BD61F5">
        <w:rPr>
          <w:lang w:val="en-AU" w:eastAsia="ja-JP"/>
        </w:rPr>
        <w:t>With only ten days to make a request for reconsideration, some developers find it unrealistic to properly engage with councils over their DC charges.</w:t>
      </w:r>
    </w:p>
    <w:p w14:paraId="0BD1E906" w14:textId="07A34516" w:rsidR="00E72548" w:rsidRDefault="001F4D0D" w:rsidP="003B57C0">
      <w:pPr>
        <w:rPr>
          <w:lang w:val="en-AU" w:eastAsia="ja-JP"/>
        </w:rPr>
      </w:pPr>
      <w:r>
        <w:rPr>
          <w:lang w:val="en-AU" w:eastAsia="ja-JP"/>
        </w:rPr>
        <w:t xml:space="preserve">At </w:t>
      </w:r>
      <w:r w:rsidR="003E6E84">
        <w:rPr>
          <w:lang w:val="en-AU" w:eastAsia="ja-JP"/>
        </w:rPr>
        <w:t>a</w:t>
      </w:r>
      <w:r>
        <w:rPr>
          <w:lang w:val="en-AU" w:eastAsia="ja-JP"/>
        </w:rPr>
        <w:t xml:space="preserve"> higher level, </w:t>
      </w:r>
      <w:r w:rsidR="003E6E84">
        <w:rPr>
          <w:lang w:val="en-AU" w:eastAsia="ja-JP"/>
        </w:rPr>
        <w:t>considering</w:t>
      </w:r>
      <w:r w:rsidR="00635F42">
        <w:rPr>
          <w:lang w:val="en-AU" w:eastAsia="ja-JP"/>
        </w:rPr>
        <w:t xml:space="preserve"> a developer must pay</w:t>
      </w:r>
      <w:r w:rsidR="00E72548">
        <w:rPr>
          <w:lang w:val="en-AU" w:eastAsia="ja-JP"/>
        </w:rPr>
        <w:t xml:space="preserve"> DCs in order to gain </w:t>
      </w:r>
      <w:proofErr w:type="spellStart"/>
      <w:r w:rsidR="003E6E84">
        <w:rPr>
          <w:lang w:val="en-AU" w:eastAsia="ja-JP"/>
        </w:rPr>
        <w:t>CoC</w:t>
      </w:r>
      <w:proofErr w:type="spellEnd"/>
      <w:r w:rsidR="00E72548">
        <w:rPr>
          <w:lang w:val="en-AU" w:eastAsia="ja-JP"/>
        </w:rPr>
        <w:t xml:space="preserve"> and thus open its store on time</w:t>
      </w:r>
      <w:r w:rsidR="003E6E84">
        <w:rPr>
          <w:lang w:val="en-AU" w:eastAsia="ja-JP"/>
        </w:rPr>
        <w:t xml:space="preserve">, the ability of the developer to resolve </w:t>
      </w:r>
      <w:r w:rsidR="006E4108">
        <w:rPr>
          <w:lang w:val="en-AU" w:eastAsia="ja-JP"/>
        </w:rPr>
        <w:t>DC issues with local councils becomes very</w:t>
      </w:r>
      <w:r w:rsidR="003E6E84">
        <w:rPr>
          <w:lang w:val="en-AU" w:eastAsia="ja-JP"/>
        </w:rPr>
        <w:t xml:space="preserve"> limited</w:t>
      </w:r>
      <w:r w:rsidR="006E4108">
        <w:rPr>
          <w:lang w:val="en-AU" w:eastAsia="ja-JP"/>
        </w:rPr>
        <w:t xml:space="preserve">. </w:t>
      </w:r>
      <w:r w:rsidR="00E72548">
        <w:rPr>
          <w:lang w:val="en-AU" w:eastAsia="ja-JP"/>
        </w:rPr>
        <w:t>Particularly for commercial developments, any delays in opening the doors of a new store are extremely costly</w:t>
      </w:r>
      <w:r w:rsidR="006E4108">
        <w:rPr>
          <w:lang w:val="en-AU" w:eastAsia="ja-JP"/>
        </w:rPr>
        <w:t xml:space="preserve"> in terms of revenue foregone</w:t>
      </w:r>
      <w:r w:rsidR="00E72548">
        <w:rPr>
          <w:lang w:val="en-AU" w:eastAsia="ja-JP"/>
        </w:rPr>
        <w:t>. As a result, a developer may be forced to take the ‘shut up and pay’ approach to</w:t>
      </w:r>
      <w:r w:rsidR="005A2216">
        <w:rPr>
          <w:lang w:val="en-AU" w:eastAsia="ja-JP"/>
        </w:rPr>
        <w:t xml:space="preserve"> its</w:t>
      </w:r>
      <w:r w:rsidR="00E72548">
        <w:rPr>
          <w:lang w:val="en-AU" w:eastAsia="ja-JP"/>
        </w:rPr>
        <w:t xml:space="preserve"> DC</w:t>
      </w:r>
      <w:r w:rsidR="00D112D9">
        <w:rPr>
          <w:lang w:val="en-AU" w:eastAsia="ja-JP"/>
        </w:rPr>
        <w:t xml:space="preserve"> assessment (even if it is sceptical about the </w:t>
      </w:r>
      <w:r w:rsidR="006E4108">
        <w:rPr>
          <w:lang w:val="en-AU" w:eastAsia="ja-JP"/>
        </w:rPr>
        <w:t>appropriateness</w:t>
      </w:r>
      <w:r w:rsidR="00D112D9">
        <w:rPr>
          <w:lang w:val="en-AU" w:eastAsia="ja-JP"/>
        </w:rPr>
        <w:t xml:space="preserve"> of the charges), in order to a</w:t>
      </w:r>
      <w:r w:rsidR="006E4108">
        <w:rPr>
          <w:lang w:val="en-AU" w:eastAsia="ja-JP"/>
        </w:rPr>
        <w:t>void delaying the Code of Compliance</w:t>
      </w:r>
      <w:r w:rsidR="00D112D9">
        <w:rPr>
          <w:lang w:val="en-AU" w:eastAsia="ja-JP"/>
        </w:rPr>
        <w:t xml:space="preserve"> and thus delaying opening shop. </w:t>
      </w:r>
    </w:p>
    <w:p w14:paraId="665CE0FF" w14:textId="176B8D63" w:rsidR="008E60D9" w:rsidRDefault="00554BAD" w:rsidP="003B57C0">
      <w:pPr>
        <w:rPr>
          <w:lang w:val="en-AU" w:eastAsia="ja-JP"/>
        </w:rPr>
      </w:pPr>
      <w:r>
        <w:rPr>
          <w:lang w:val="en-AU" w:eastAsia="ja-JP"/>
        </w:rPr>
        <w:t>While developers do have the ability to request for DC reconsideration, and the ability to</w:t>
      </w:r>
      <w:r w:rsidR="00513C21">
        <w:rPr>
          <w:lang w:val="en-AU" w:eastAsia="ja-JP"/>
        </w:rPr>
        <w:t xml:space="preserve"> formally object to charges, the </w:t>
      </w:r>
      <w:r w:rsidR="009431D6">
        <w:rPr>
          <w:lang w:val="en-AU" w:eastAsia="ja-JP"/>
        </w:rPr>
        <w:t xml:space="preserve">timeframe they </w:t>
      </w:r>
      <w:proofErr w:type="gramStart"/>
      <w:r w:rsidR="009431D6">
        <w:rPr>
          <w:lang w:val="en-AU" w:eastAsia="ja-JP"/>
        </w:rPr>
        <w:t>have to</w:t>
      </w:r>
      <w:proofErr w:type="gramEnd"/>
      <w:r w:rsidR="009431D6">
        <w:rPr>
          <w:lang w:val="en-AU" w:eastAsia="ja-JP"/>
        </w:rPr>
        <w:t xml:space="preserve"> do so within the </w:t>
      </w:r>
      <w:r w:rsidR="00513C21">
        <w:rPr>
          <w:lang w:val="en-AU" w:eastAsia="ja-JP"/>
        </w:rPr>
        <w:t xml:space="preserve">current system </w:t>
      </w:r>
      <w:r w:rsidR="009431D6">
        <w:rPr>
          <w:lang w:val="en-AU" w:eastAsia="ja-JP"/>
        </w:rPr>
        <w:t xml:space="preserve">puts the developer in a disadvantaged position. </w:t>
      </w:r>
    </w:p>
    <w:p w14:paraId="0E5365AB" w14:textId="09852598" w:rsidR="00E72548" w:rsidRDefault="001A6B3A" w:rsidP="00C933CA">
      <w:pPr>
        <w:pStyle w:val="Heading3"/>
        <w:rPr>
          <w:lang w:val="en-AU" w:eastAsia="ja-JP"/>
        </w:rPr>
      </w:pPr>
      <w:r>
        <w:rPr>
          <w:lang w:val="en-AU" w:eastAsia="ja-JP"/>
        </w:rPr>
        <w:lastRenderedPageBreak/>
        <w:t>Budget forecasting</w:t>
      </w:r>
    </w:p>
    <w:p w14:paraId="55B705A2" w14:textId="4D8A2ED1" w:rsidR="003D4398" w:rsidRDefault="001A6B3A" w:rsidP="003B57C0">
      <w:pPr>
        <w:rPr>
          <w:lang w:val="en-AU" w:eastAsia="ja-JP"/>
        </w:rPr>
      </w:pPr>
      <w:r>
        <w:rPr>
          <w:lang w:val="en-AU" w:eastAsia="ja-JP"/>
        </w:rPr>
        <w:t xml:space="preserve">Foodstuffs has found that </w:t>
      </w:r>
      <w:r w:rsidR="00C91B9A">
        <w:rPr>
          <w:lang w:val="en-AU" w:eastAsia="ja-JP"/>
        </w:rPr>
        <w:t>the timing of D</w:t>
      </w:r>
      <w:r w:rsidR="00316F4D">
        <w:rPr>
          <w:lang w:val="en-AU" w:eastAsia="ja-JP"/>
        </w:rPr>
        <w:t xml:space="preserve">C </w:t>
      </w:r>
      <w:r w:rsidR="00C91B9A">
        <w:rPr>
          <w:lang w:val="en-AU" w:eastAsia="ja-JP"/>
        </w:rPr>
        <w:t xml:space="preserve">charges </w:t>
      </w:r>
      <w:r w:rsidR="00007EF3">
        <w:rPr>
          <w:lang w:val="en-AU" w:eastAsia="ja-JP"/>
        </w:rPr>
        <w:t>can also</w:t>
      </w:r>
      <w:r w:rsidR="005E4F88">
        <w:rPr>
          <w:lang w:val="en-AU" w:eastAsia="ja-JP"/>
        </w:rPr>
        <w:t xml:space="preserve"> create</w:t>
      </w:r>
      <w:r w:rsidR="00C91B9A">
        <w:rPr>
          <w:lang w:val="en-AU" w:eastAsia="ja-JP"/>
        </w:rPr>
        <w:t xml:space="preserve"> issues </w:t>
      </w:r>
      <w:r w:rsidR="005E4F88">
        <w:rPr>
          <w:lang w:val="en-AU" w:eastAsia="ja-JP"/>
        </w:rPr>
        <w:t xml:space="preserve">for developers </w:t>
      </w:r>
      <w:r w:rsidR="006E4108">
        <w:rPr>
          <w:lang w:val="en-AU" w:eastAsia="ja-JP"/>
        </w:rPr>
        <w:t>around</w:t>
      </w:r>
      <w:r w:rsidR="00C91B9A">
        <w:rPr>
          <w:lang w:val="en-AU" w:eastAsia="ja-JP"/>
        </w:rPr>
        <w:t xml:space="preserve"> </w:t>
      </w:r>
      <w:r w:rsidR="005E4F88">
        <w:rPr>
          <w:lang w:val="en-AU" w:eastAsia="ja-JP"/>
        </w:rPr>
        <w:t xml:space="preserve">their ability to </w:t>
      </w:r>
      <w:r w:rsidR="00396D1E">
        <w:rPr>
          <w:lang w:val="en-AU" w:eastAsia="ja-JP"/>
        </w:rPr>
        <w:t xml:space="preserve">accurately </w:t>
      </w:r>
      <w:r w:rsidR="005E4F88">
        <w:rPr>
          <w:lang w:val="en-AU" w:eastAsia="ja-JP"/>
        </w:rPr>
        <w:t>budget</w:t>
      </w:r>
      <w:r w:rsidR="00305648">
        <w:rPr>
          <w:lang w:val="en-AU" w:eastAsia="ja-JP"/>
        </w:rPr>
        <w:t xml:space="preserve"> for DC costs.</w:t>
      </w:r>
      <w:r w:rsidR="003D4398">
        <w:rPr>
          <w:lang w:val="en-AU" w:eastAsia="ja-JP"/>
        </w:rPr>
        <w:t xml:space="preserve"> In many cases, there is a significant discrepancy between original estimates provided by the local council and the DCs charged in the final assessment. In Foodstuffs’ experience, the discrepancy between these two figures can be upwards of $600,000, which </w:t>
      </w:r>
      <w:r w:rsidR="002506F9">
        <w:rPr>
          <w:lang w:val="en-AU" w:eastAsia="ja-JP"/>
        </w:rPr>
        <w:t xml:space="preserve">can present significant issues relating to </w:t>
      </w:r>
      <w:r w:rsidR="003D4398">
        <w:rPr>
          <w:rFonts w:hint="eastAsia"/>
          <w:lang w:val="en-AU" w:eastAsia="zh-TW"/>
        </w:rPr>
        <w:t>b</w:t>
      </w:r>
      <w:r w:rsidR="003D4398">
        <w:rPr>
          <w:lang w:val="en-AU" w:eastAsia="ja-JP"/>
        </w:rPr>
        <w:t xml:space="preserve">udgeting and cash-flow. </w:t>
      </w:r>
    </w:p>
    <w:p w14:paraId="44AE12BB" w14:textId="651092D3" w:rsidR="005F7773" w:rsidRDefault="00833686" w:rsidP="00471B97">
      <w:pPr>
        <w:spacing w:after="240"/>
        <w:rPr>
          <w:lang w:val="en-AU" w:eastAsia="ja-JP"/>
        </w:rPr>
      </w:pPr>
      <w:r>
        <w:rPr>
          <w:lang w:val="en-AU" w:eastAsia="ja-JP"/>
        </w:rPr>
        <w:t xml:space="preserve">Foodstuffs has noted that </w:t>
      </w:r>
      <w:r w:rsidR="00762DAB">
        <w:rPr>
          <w:lang w:val="en-AU" w:eastAsia="ja-JP"/>
        </w:rPr>
        <w:t xml:space="preserve">some councils, including Auckland City Council, CCC, Hamilton and QLDC provide an online calculator tool that can be used to generate an estimate of DCs. </w:t>
      </w:r>
      <w:r w:rsidR="004D5575">
        <w:rPr>
          <w:lang w:val="en-AU" w:eastAsia="ja-JP"/>
        </w:rPr>
        <w:t xml:space="preserve"> The developer </w:t>
      </w:r>
      <w:proofErr w:type="gramStart"/>
      <w:r w:rsidR="004D5575">
        <w:rPr>
          <w:lang w:val="en-AU" w:eastAsia="ja-JP"/>
        </w:rPr>
        <w:t>has the ability to</w:t>
      </w:r>
      <w:proofErr w:type="gramEnd"/>
      <w:r w:rsidR="004D5575">
        <w:rPr>
          <w:lang w:val="en-AU" w:eastAsia="ja-JP"/>
        </w:rPr>
        <w:t xml:space="preserve"> enter the specifications of their devel</w:t>
      </w:r>
      <w:r w:rsidR="006E4108">
        <w:rPr>
          <w:lang w:val="en-AU" w:eastAsia="ja-JP"/>
        </w:rPr>
        <w:t>opment and receive an estimate</w:t>
      </w:r>
      <w:r w:rsidR="004D5575">
        <w:rPr>
          <w:lang w:val="en-AU" w:eastAsia="ja-JP"/>
        </w:rPr>
        <w:t xml:space="preserve"> of their DC charges, based on the charging levels of the DC policy in place at the time. </w:t>
      </w:r>
      <w:r w:rsidR="00A647F0">
        <w:rPr>
          <w:lang w:val="en-AU" w:eastAsia="ja-JP"/>
        </w:rPr>
        <w:t xml:space="preserve">However, </w:t>
      </w:r>
      <w:r w:rsidR="00A544CF">
        <w:rPr>
          <w:lang w:val="en-AU" w:eastAsia="ja-JP"/>
        </w:rPr>
        <w:t xml:space="preserve">Foodstuffs has found that in areas where these online tools exist, </w:t>
      </w:r>
      <w:r w:rsidR="000B2027">
        <w:rPr>
          <w:lang w:val="en-AU" w:eastAsia="ja-JP"/>
        </w:rPr>
        <w:t xml:space="preserve">the </w:t>
      </w:r>
      <w:r w:rsidR="00A544CF">
        <w:rPr>
          <w:lang w:val="en-AU" w:eastAsia="ja-JP"/>
        </w:rPr>
        <w:t>ability to budget for DCs is improved. Foodstuffs also identified the following limitations:</w:t>
      </w:r>
    </w:p>
    <w:p w14:paraId="371DF601" w14:textId="6E36F120" w:rsidR="00930E37" w:rsidRDefault="000B2027" w:rsidP="00471B97">
      <w:pPr>
        <w:pStyle w:val="ListParagraph"/>
        <w:numPr>
          <w:ilvl w:val="0"/>
          <w:numId w:val="25"/>
        </w:numPr>
        <w:spacing w:after="120" w:line="276" w:lineRule="auto"/>
        <w:ind w:left="714" w:hanging="357"/>
        <w:contextualSpacing w:val="0"/>
        <w:rPr>
          <w:lang w:val="en-AU" w:eastAsia="ja-JP"/>
        </w:rPr>
      </w:pPr>
      <w:proofErr w:type="gramStart"/>
      <w:r>
        <w:rPr>
          <w:lang w:val="en-AU" w:eastAsia="ja-JP"/>
        </w:rPr>
        <w:t>w</w:t>
      </w:r>
      <w:r w:rsidR="00930E37">
        <w:rPr>
          <w:lang w:val="en-AU" w:eastAsia="ja-JP"/>
        </w:rPr>
        <w:t>ith the exception of</w:t>
      </w:r>
      <w:proofErr w:type="gramEnd"/>
      <w:r w:rsidR="00930E37">
        <w:rPr>
          <w:lang w:val="en-AU" w:eastAsia="ja-JP"/>
        </w:rPr>
        <w:t xml:space="preserve"> Auckland, most online calculators do not have the capacity to calculate HUE credits for brownfield developments. As </w:t>
      </w:r>
      <w:proofErr w:type="gramStart"/>
      <w:r w:rsidR="00930E37">
        <w:rPr>
          <w:lang w:val="en-AU" w:eastAsia="ja-JP"/>
        </w:rPr>
        <w:t>a number of</w:t>
      </w:r>
      <w:proofErr w:type="gramEnd"/>
      <w:r w:rsidR="00930E37">
        <w:rPr>
          <w:lang w:val="en-AU" w:eastAsia="ja-JP"/>
        </w:rPr>
        <w:t xml:space="preserve"> the case studies above have identified, brownfield developments and HUE credits are often the area of DC charging where issues and inconsistencies arise;</w:t>
      </w:r>
      <w:r>
        <w:rPr>
          <w:lang w:val="en-AU" w:eastAsia="ja-JP"/>
        </w:rPr>
        <w:t xml:space="preserve"> and</w:t>
      </w:r>
    </w:p>
    <w:p w14:paraId="3611784F" w14:textId="73636C84" w:rsidR="00DA183B" w:rsidRPr="00206059" w:rsidRDefault="003A0565" w:rsidP="00471B97">
      <w:pPr>
        <w:pStyle w:val="ListParagraph"/>
        <w:numPr>
          <w:ilvl w:val="0"/>
          <w:numId w:val="25"/>
        </w:numPr>
        <w:spacing w:after="240" w:line="276" w:lineRule="auto"/>
        <w:ind w:left="714" w:hanging="357"/>
        <w:contextualSpacing w:val="0"/>
        <w:rPr>
          <w:lang w:val="en-AU" w:eastAsia="ja-JP"/>
        </w:rPr>
      </w:pPr>
      <w:r>
        <w:rPr>
          <w:lang w:val="en-AU" w:eastAsia="ja-JP"/>
        </w:rPr>
        <w:t xml:space="preserve">some categories of DCs are excluded from some online calculators. The estimator for Auckland City Council for example does not include water or wastewater, as these are dealt with by a separate </w:t>
      </w:r>
      <w:r w:rsidR="000B2027">
        <w:rPr>
          <w:lang w:val="en-AU" w:eastAsia="ja-JP"/>
        </w:rPr>
        <w:t>‘</w:t>
      </w:r>
      <w:r>
        <w:rPr>
          <w:lang w:val="en-AU" w:eastAsia="ja-JP"/>
        </w:rPr>
        <w:t>organisation</w:t>
      </w:r>
      <w:r w:rsidR="000B2027">
        <w:rPr>
          <w:lang w:val="en-AU" w:eastAsia="ja-JP"/>
        </w:rPr>
        <w:t>’</w:t>
      </w:r>
      <w:r>
        <w:rPr>
          <w:lang w:val="en-AU" w:eastAsia="ja-JP"/>
        </w:rPr>
        <w:t xml:space="preserve"> (Watercare). Considering these two contributions can make up a reasonable portion of DC charges, the calculator is limited in its valu</w:t>
      </w:r>
      <w:r w:rsidR="006A2EA4">
        <w:rPr>
          <w:lang w:val="en-AU" w:eastAsia="ja-JP"/>
        </w:rPr>
        <w:t>e</w:t>
      </w:r>
      <w:r>
        <w:rPr>
          <w:lang w:val="en-AU" w:eastAsia="ja-JP"/>
        </w:rPr>
        <w:t xml:space="preserve"> as it only shows a portion of </w:t>
      </w:r>
      <w:r w:rsidR="000B2027">
        <w:rPr>
          <w:lang w:val="en-AU" w:eastAsia="ja-JP"/>
        </w:rPr>
        <w:t>the DC picture.</w:t>
      </w:r>
    </w:p>
    <w:p w14:paraId="6910A2AF" w14:textId="77777777" w:rsidR="005F7773" w:rsidRDefault="005F7773" w:rsidP="003B57C0">
      <w:pPr>
        <w:rPr>
          <w:lang w:val="en-AU" w:eastAsia="ja-JP"/>
        </w:rPr>
      </w:pPr>
    </w:p>
    <w:p w14:paraId="6AA9D794" w14:textId="77777777" w:rsidR="005F7773" w:rsidRDefault="005F7773" w:rsidP="003B57C0">
      <w:pPr>
        <w:rPr>
          <w:lang w:val="en-AU" w:eastAsia="ja-JP"/>
        </w:rPr>
      </w:pPr>
    </w:p>
    <w:p w14:paraId="63DB5B16" w14:textId="27FD106B" w:rsidR="00431467" w:rsidRDefault="00431467" w:rsidP="00CB6441">
      <w:pPr>
        <w:rPr>
          <w:lang w:val="en-GB" w:eastAsia="zh-TW"/>
        </w:rPr>
      </w:pPr>
    </w:p>
    <w:p w14:paraId="409CA87B" w14:textId="4D53E0A3" w:rsidR="00431467" w:rsidRDefault="00431467" w:rsidP="00431467">
      <w:pPr>
        <w:pStyle w:val="Heading1"/>
      </w:pPr>
      <w:bookmarkStart w:id="44" w:name="_Toc533411202"/>
      <w:r w:rsidRPr="001F07A2">
        <w:rPr>
          <w:sz w:val="28"/>
          <w:szCs w:val="28"/>
        </w:rPr>
        <w:lastRenderedPageBreak/>
        <w:drawing>
          <wp:anchor distT="0" distB="0" distL="114300" distR="114300" simplePos="0" relativeHeight="251751424" behindDoc="1" locked="0" layoutInCell="1" allowOverlap="1" wp14:anchorId="59673D6B" wp14:editId="0A27F804">
            <wp:simplePos x="0" y="0"/>
            <wp:positionH relativeFrom="column">
              <wp:posOffset>0</wp:posOffset>
            </wp:positionH>
            <wp:positionV relativeFrom="paragraph">
              <wp:posOffset>531170</wp:posOffset>
            </wp:positionV>
            <wp:extent cx="8779510" cy="45085"/>
            <wp:effectExtent l="0" t="0" r="889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779510" cy="45085"/>
                    </a:xfrm>
                    <a:prstGeom prst="rect">
                      <a:avLst/>
                    </a:prstGeom>
                  </pic:spPr>
                </pic:pic>
              </a:graphicData>
            </a:graphic>
            <wp14:sizeRelH relativeFrom="page">
              <wp14:pctWidth>0</wp14:pctWidth>
            </wp14:sizeRelH>
            <wp14:sizeRelV relativeFrom="page">
              <wp14:pctHeight>0</wp14:pctHeight>
            </wp14:sizeRelV>
          </wp:anchor>
        </w:drawing>
      </w:r>
      <w:r>
        <w:t>Underlying causes of the current issues</w:t>
      </w:r>
      <w:bookmarkEnd w:id="44"/>
    </w:p>
    <w:p w14:paraId="0794FB78" w14:textId="390BCC87" w:rsidR="00A05D49" w:rsidRDefault="00AF6540" w:rsidP="00C027A8">
      <w:pPr>
        <w:rPr>
          <w:lang w:val="en-GB" w:eastAsia="zh-CN"/>
        </w:rPr>
      </w:pPr>
      <w:r>
        <w:rPr>
          <w:lang w:val="en-GB" w:eastAsia="zh-CN"/>
        </w:rPr>
        <w:t>Our analysis above</w:t>
      </w:r>
      <w:r w:rsidR="00C027A8">
        <w:rPr>
          <w:lang w:val="en-GB" w:eastAsia="zh-CN"/>
        </w:rPr>
        <w:t xml:space="preserve"> has </w:t>
      </w:r>
      <w:r>
        <w:rPr>
          <w:lang w:val="en-GB" w:eastAsia="zh-CN"/>
        </w:rPr>
        <w:t>identified</w:t>
      </w:r>
      <w:r w:rsidR="00C027A8">
        <w:rPr>
          <w:lang w:val="en-GB" w:eastAsia="zh-CN"/>
        </w:rPr>
        <w:t xml:space="preserve"> a number of the major issues with the current DC charging regime. In doi</w:t>
      </w:r>
      <w:r>
        <w:rPr>
          <w:lang w:val="en-GB" w:eastAsia="zh-CN"/>
        </w:rPr>
        <w:t>ng so,</w:t>
      </w:r>
      <w:r w:rsidR="00A05D49">
        <w:rPr>
          <w:lang w:val="en-GB" w:eastAsia="zh-CN"/>
        </w:rPr>
        <w:t xml:space="preserve"> </w:t>
      </w:r>
      <w:r w:rsidR="00FA5B53">
        <w:rPr>
          <w:lang w:val="en-GB" w:eastAsia="zh-CN"/>
        </w:rPr>
        <w:t>we have also considered some of</w:t>
      </w:r>
      <w:r w:rsidR="00C027A8">
        <w:rPr>
          <w:lang w:val="en-GB" w:eastAsia="zh-CN"/>
        </w:rPr>
        <w:t xml:space="preserve"> the </w:t>
      </w:r>
      <w:r>
        <w:rPr>
          <w:lang w:val="en-GB" w:eastAsia="zh-CN"/>
        </w:rPr>
        <w:t xml:space="preserve">possible </w:t>
      </w:r>
      <w:r w:rsidR="00C027A8">
        <w:rPr>
          <w:lang w:val="en-GB" w:eastAsia="zh-CN"/>
        </w:rPr>
        <w:t xml:space="preserve">underlying causes </w:t>
      </w:r>
      <w:r>
        <w:rPr>
          <w:lang w:val="en-GB" w:eastAsia="zh-CN"/>
        </w:rPr>
        <w:t>behind</w:t>
      </w:r>
      <w:r w:rsidR="00C027A8">
        <w:rPr>
          <w:lang w:val="en-GB" w:eastAsia="zh-CN"/>
        </w:rPr>
        <w:t xml:space="preserve"> these issues. </w:t>
      </w:r>
      <w:r w:rsidR="00FA5B53">
        <w:rPr>
          <w:lang w:val="en-GB" w:eastAsia="zh-CN"/>
        </w:rPr>
        <w:t>These</w:t>
      </w:r>
      <w:r w:rsidR="00D76064">
        <w:rPr>
          <w:lang w:val="en-GB" w:eastAsia="zh-CN"/>
        </w:rPr>
        <w:t xml:space="preserve"> </w:t>
      </w:r>
      <w:r w:rsidR="00A05D49">
        <w:rPr>
          <w:lang w:val="en-GB" w:eastAsia="zh-CN"/>
        </w:rPr>
        <w:t xml:space="preserve">include </w:t>
      </w:r>
      <w:r w:rsidR="00EF0927">
        <w:rPr>
          <w:lang w:val="en-GB" w:eastAsia="zh-CN"/>
        </w:rPr>
        <w:t xml:space="preserve">the application </w:t>
      </w:r>
      <w:r w:rsidR="00D76064">
        <w:rPr>
          <w:lang w:val="en-GB" w:eastAsia="zh-CN"/>
        </w:rPr>
        <w:t>of HUEs,</w:t>
      </w:r>
      <w:r>
        <w:rPr>
          <w:lang w:val="en-GB" w:eastAsia="zh-CN"/>
        </w:rPr>
        <w:t xml:space="preserve"> </w:t>
      </w:r>
      <w:r w:rsidR="00D76064">
        <w:rPr>
          <w:lang w:val="en-GB" w:eastAsia="zh-CN"/>
        </w:rPr>
        <w:t xml:space="preserve">incomplete </w:t>
      </w:r>
      <w:r w:rsidR="00A05D49">
        <w:rPr>
          <w:lang w:val="en-GB" w:eastAsia="zh-CN"/>
        </w:rPr>
        <w:t xml:space="preserve">building records, </w:t>
      </w:r>
      <w:r>
        <w:rPr>
          <w:lang w:val="en-GB" w:eastAsia="zh-CN"/>
        </w:rPr>
        <w:t xml:space="preserve">poor </w:t>
      </w:r>
      <w:r w:rsidR="00D503AE">
        <w:rPr>
          <w:lang w:val="en-GB" w:eastAsia="zh-CN"/>
        </w:rPr>
        <w:t xml:space="preserve">internal </w:t>
      </w:r>
      <w:r w:rsidR="00A05D49">
        <w:rPr>
          <w:lang w:val="en-GB" w:eastAsia="zh-CN"/>
        </w:rPr>
        <w:t xml:space="preserve">communication </w:t>
      </w:r>
      <w:r w:rsidR="00E758B8">
        <w:rPr>
          <w:lang w:val="en-GB" w:eastAsia="zh-CN"/>
        </w:rPr>
        <w:t xml:space="preserve">between council </w:t>
      </w:r>
      <w:r w:rsidR="00125DD7">
        <w:rPr>
          <w:lang w:val="en-GB" w:eastAsia="zh-CN"/>
        </w:rPr>
        <w:t xml:space="preserve">staff in different </w:t>
      </w:r>
      <w:r w:rsidR="00E758B8">
        <w:rPr>
          <w:lang w:val="en-GB" w:eastAsia="zh-CN"/>
        </w:rPr>
        <w:t>departments</w:t>
      </w:r>
      <w:r w:rsidR="00A05D49">
        <w:rPr>
          <w:lang w:val="en-GB" w:eastAsia="zh-CN"/>
        </w:rPr>
        <w:t xml:space="preserve">, </w:t>
      </w:r>
      <w:r>
        <w:rPr>
          <w:lang w:val="en-GB" w:eastAsia="zh-CN"/>
        </w:rPr>
        <w:t xml:space="preserve">the </w:t>
      </w:r>
      <w:r w:rsidR="00686F46">
        <w:rPr>
          <w:lang w:val="en-GB" w:eastAsia="zh-CN"/>
        </w:rPr>
        <w:t xml:space="preserve">capability and </w:t>
      </w:r>
      <w:r w:rsidR="00A05D49">
        <w:rPr>
          <w:lang w:val="en-GB" w:eastAsia="zh-CN"/>
        </w:rPr>
        <w:t xml:space="preserve">capacity of local councils and </w:t>
      </w:r>
      <w:r w:rsidR="00D76064">
        <w:rPr>
          <w:lang w:val="en-GB" w:eastAsia="zh-CN"/>
        </w:rPr>
        <w:t xml:space="preserve">political pressures. </w:t>
      </w:r>
      <w:r w:rsidR="00992F03">
        <w:rPr>
          <w:lang w:val="en-GB" w:eastAsia="zh-CN"/>
        </w:rPr>
        <w:t xml:space="preserve"> </w:t>
      </w:r>
    </w:p>
    <w:p w14:paraId="4D3D11A8" w14:textId="19CD6B12" w:rsidR="00D76064" w:rsidRDefault="00D76064" w:rsidP="00D76064">
      <w:pPr>
        <w:pStyle w:val="Heading2"/>
      </w:pPr>
      <w:bookmarkStart w:id="45" w:name="_Toc533411203"/>
      <w:r>
        <w:t xml:space="preserve">HUE </w:t>
      </w:r>
      <w:r w:rsidR="0045381F">
        <w:t>a</w:t>
      </w:r>
      <w:r w:rsidR="00671CBC">
        <w:t>pplica</w:t>
      </w:r>
      <w:r w:rsidR="00EF0927">
        <w:t>tion</w:t>
      </w:r>
      <w:bookmarkEnd w:id="45"/>
    </w:p>
    <w:p w14:paraId="2001B9AF" w14:textId="2A7D55FA" w:rsidR="00671CBC" w:rsidRDefault="000D0BDD" w:rsidP="00671CBC">
      <w:pPr>
        <w:rPr>
          <w:lang w:val="en-GB" w:eastAsia="zh-TW"/>
        </w:rPr>
      </w:pPr>
      <w:r>
        <w:rPr>
          <w:lang w:val="en-GB" w:eastAsia="zh-TW"/>
        </w:rPr>
        <w:t xml:space="preserve">Our analysis has seen evidence of issues </w:t>
      </w:r>
      <w:r w:rsidR="001C5065">
        <w:rPr>
          <w:lang w:val="en-GB" w:eastAsia="zh-TW"/>
        </w:rPr>
        <w:t>with</w:t>
      </w:r>
      <w:r w:rsidR="00397F89">
        <w:rPr>
          <w:lang w:val="en-GB" w:eastAsia="zh-TW"/>
        </w:rPr>
        <w:t xml:space="preserve"> </w:t>
      </w:r>
      <w:r w:rsidR="00001C5C">
        <w:rPr>
          <w:lang w:val="en-GB" w:eastAsia="zh-TW"/>
        </w:rPr>
        <w:t xml:space="preserve">DCs assessed </w:t>
      </w:r>
      <w:r w:rsidR="00171A9C">
        <w:rPr>
          <w:lang w:val="en-GB" w:eastAsia="zh-TW"/>
        </w:rPr>
        <w:t xml:space="preserve">using HUE calculations </w:t>
      </w:r>
      <w:r w:rsidR="00367F2E">
        <w:rPr>
          <w:lang w:val="en-GB" w:eastAsia="zh-TW"/>
        </w:rPr>
        <w:t xml:space="preserve">on non-residential developments </w:t>
      </w:r>
      <w:r w:rsidR="00262760">
        <w:rPr>
          <w:lang w:val="en-GB" w:eastAsia="zh-TW"/>
        </w:rPr>
        <w:t>not being</w:t>
      </w:r>
      <w:r w:rsidR="0046358C">
        <w:rPr>
          <w:lang w:val="en-GB" w:eastAsia="zh-TW"/>
        </w:rPr>
        <w:t xml:space="preserve"> directly proportionate to the actual impacts of the development. </w:t>
      </w:r>
      <w:r w:rsidR="00171A9C">
        <w:rPr>
          <w:lang w:val="en-GB" w:eastAsia="zh-TW"/>
        </w:rPr>
        <w:t xml:space="preserve">Developments in Case studies 1 and 2 illustrated examples of this, particularly the Hornby case. </w:t>
      </w:r>
      <w:r w:rsidR="00E33F3B">
        <w:rPr>
          <w:lang w:val="en-GB" w:eastAsia="zh-TW"/>
        </w:rPr>
        <w:t xml:space="preserve">The warehouse site that DCs were applied to </w:t>
      </w:r>
      <w:r w:rsidR="00715EDF">
        <w:rPr>
          <w:lang w:val="en-GB" w:eastAsia="zh-TW"/>
        </w:rPr>
        <w:t>is</w:t>
      </w:r>
      <w:r w:rsidR="00E33F3B">
        <w:rPr>
          <w:lang w:val="en-GB" w:eastAsia="zh-TW"/>
        </w:rPr>
        <w:t xml:space="preserve"> </w:t>
      </w:r>
      <w:r w:rsidR="00A32D35">
        <w:rPr>
          <w:lang w:val="en-GB" w:eastAsia="zh-TW"/>
        </w:rPr>
        <w:t xml:space="preserve">almost </w:t>
      </w:r>
      <w:r w:rsidR="00E33F3B">
        <w:rPr>
          <w:lang w:val="en-GB" w:eastAsia="zh-TW"/>
        </w:rPr>
        <w:t xml:space="preserve">entirely automated, </w:t>
      </w:r>
      <w:r w:rsidR="00A32D35">
        <w:rPr>
          <w:lang w:val="en-GB" w:eastAsia="zh-TW"/>
        </w:rPr>
        <w:t xml:space="preserve">with minimal staff and therefore minimal </w:t>
      </w:r>
      <w:r w:rsidR="009B536D">
        <w:rPr>
          <w:lang w:val="en-GB" w:eastAsia="zh-TW"/>
        </w:rPr>
        <w:t xml:space="preserve">restroom water and sewer use, or additional staff vehicles on surrounding roads. </w:t>
      </w:r>
      <w:r w:rsidR="000B4072">
        <w:rPr>
          <w:lang w:val="en-GB" w:eastAsia="zh-TW"/>
        </w:rPr>
        <w:t xml:space="preserve">As a result, the </w:t>
      </w:r>
      <w:r w:rsidR="00715EDF">
        <w:rPr>
          <w:lang w:val="en-GB" w:eastAsia="zh-TW"/>
        </w:rPr>
        <w:t xml:space="preserve">HUEs based </w:t>
      </w:r>
      <w:r w:rsidR="000B4072">
        <w:rPr>
          <w:lang w:val="en-GB" w:eastAsia="zh-TW"/>
        </w:rPr>
        <w:t xml:space="preserve">DCs calculated by </w:t>
      </w:r>
      <w:r w:rsidR="00D14690">
        <w:rPr>
          <w:lang w:val="en-GB" w:eastAsia="zh-TW"/>
        </w:rPr>
        <w:t xml:space="preserve">CCC </w:t>
      </w:r>
      <w:r w:rsidR="00715EDF">
        <w:rPr>
          <w:lang w:val="en-GB" w:eastAsia="zh-TW"/>
        </w:rPr>
        <w:t xml:space="preserve">were </w:t>
      </w:r>
      <w:r w:rsidR="00171A9C">
        <w:rPr>
          <w:lang w:val="en-GB" w:eastAsia="zh-TW"/>
        </w:rPr>
        <w:t xml:space="preserve">not reflective of the </w:t>
      </w:r>
      <w:r w:rsidR="00715EDF">
        <w:rPr>
          <w:lang w:val="en-GB" w:eastAsia="zh-TW"/>
        </w:rPr>
        <w:t>actual site impacts.</w:t>
      </w:r>
    </w:p>
    <w:p w14:paraId="451477D8" w14:textId="559CEB6F" w:rsidR="000D0BDD" w:rsidRDefault="000D0BDD" w:rsidP="00671CBC">
      <w:pPr>
        <w:rPr>
          <w:lang w:val="en-GB" w:eastAsia="zh-TW"/>
        </w:rPr>
      </w:pPr>
      <w:r>
        <w:rPr>
          <w:lang w:val="en-GB" w:eastAsia="zh-TW"/>
        </w:rPr>
        <w:t xml:space="preserve">While this example relates specifically to the applicability of </w:t>
      </w:r>
      <w:r w:rsidR="00A32892">
        <w:rPr>
          <w:lang w:val="en-GB" w:eastAsia="zh-TW"/>
        </w:rPr>
        <w:t xml:space="preserve">HUEs to a highly automated development site, our discussions with Foodstuffs and property development managers have revealed a wider level of concern about the applicability of </w:t>
      </w:r>
      <w:r w:rsidR="009C151B">
        <w:rPr>
          <w:lang w:val="en-GB" w:eastAsia="zh-TW"/>
        </w:rPr>
        <w:t xml:space="preserve">some </w:t>
      </w:r>
      <w:r w:rsidR="00A32892">
        <w:rPr>
          <w:lang w:val="en-GB" w:eastAsia="zh-TW"/>
        </w:rPr>
        <w:t>HUE</w:t>
      </w:r>
      <w:r w:rsidR="009C151B">
        <w:rPr>
          <w:lang w:val="en-GB" w:eastAsia="zh-TW"/>
        </w:rPr>
        <w:t xml:space="preserve"> calculations</w:t>
      </w:r>
      <w:r w:rsidR="00A32892">
        <w:rPr>
          <w:lang w:val="en-GB" w:eastAsia="zh-TW"/>
        </w:rPr>
        <w:t xml:space="preserve"> to non-residential developments. </w:t>
      </w:r>
    </w:p>
    <w:p w14:paraId="485972ED" w14:textId="32F90083" w:rsidR="00921CE0" w:rsidRPr="004E4D7B" w:rsidRDefault="00D40088" w:rsidP="00671CBC">
      <w:pPr>
        <w:rPr>
          <w:lang w:val="en-GB" w:eastAsia="zh-TW"/>
        </w:rPr>
      </w:pPr>
      <w:r>
        <w:rPr>
          <w:lang w:val="en-GB" w:eastAsia="zh-TW"/>
        </w:rPr>
        <w:t xml:space="preserve">Under the current DC system, </w:t>
      </w:r>
      <w:r w:rsidR="00E95161">
        <w:rPr>
          <w:lang w:val="en-GB" w:eastAsia="zh-TW"/>
        </w:rPr>
        <w:t xml:space="preserve">it is up to each local council to apply its own methodology to calculating HUEs for non-residential developments, with no agreed upon standard or best-practice method. </w:t>
      </w:r>
      <w:r w:rsidR="004E4D7B">
        <w:rPr>
          <w:lang w:val="en-GB" w:eastAsia="zh-TW"/>
        </w:rPr>
        <w:t>Accordingly, it appears that cases are arising where HUEs are not fit for purpose, particularly for non-</w:t>
      </w:r>
      <w:r w:rsidR="00A16073">
        <w:rPr>
          <w:lang w:val="en-GB" w:eastAsia="zh-TW"/>
        </w:rPr>
        <w:t>residential</w:t>
      </w:r>
      <w:r w:rsidR="004E4D7B">
        <w:rPr>
          <w:lang w:val="en-GB" w:eastAsia="zh-TW"/>
        </w:rPr>
        <w:t xml:space="preserve"> developments. </w:t>
      </w:r>
      <w:r w:rsidR="007F0C06">
        <w:rPr>
          <w:lang w:val="en-GB" w:eastAsia="zh-TW"/>
        </w:rPr>
        <w:t xml:space="preserve">This raises the question of whether the appropriateness of HUEs for non-residential developments requires further consideration. </w:t>
      </w:r>
      <w:r w:rsidR="00502887">
        <w:rPr>
          <w:lang w:val="en-GB" w:eastAsia="zh-TW"/>
        </w:rPr>
        <w:t xml:space="preserve"> </w:t>
      </w:r>
    </w:p>
    <w:p w14:paraId="72D25E06" w14:textId="2104B9AD" w:rsidR="002F2D84" w:rsidRDefault="002F2D84" w:rsidP="00C027A8">
      <w:pPr>
        <w:pStyle w:val="Heading2"/>
      </w:pPr>
      <w:bookmarkStart w:id="46" w:name="_Toc533411204"/>
      <w:r>
        <w:t>Building records</w:t>
      </w:r>
      <w:bookmarkEnd w:id="46"/>
      <w:r>
        <w:t xml:space="preserve"> </w:t>
      </w:r>
    </w:p>
    <w:p w14:paraId="354299D8" w14:textId="41CF9812" w:rsidR="002644CE" w:rsidRDefault="00114585" w:rsidP="002F2D84">
      <w:pPr>
        <w:rPr>
          <w:lang w:val="en-GB" w:eastAsia="zh-TW"/>
        </w:rPr>
      </w:pPr>
      <w:r>
        <w:rPr>
          <w:lang w:val="en-GB" w:eastAsia="zh-TW"/>
        </w:rPr>
        <w:t xml:space="preserve">For understandable reasons, </w:t>
      </w:r>
      <w:r w:rsidR="002644CE">
        <w:rPr>
          <w:lang w:val="en-GB" w:eastAsia="zh-TW"/>
        </w:rPr>
        <w:t xml:space="preserve">a number </w:t>
      </w:r>
      <w:r w:rsidR="006D6714">
        <w:rPr>
          <w:lang w:val="en-GB" w:eastAsia="zh-TW"/>
        </w:rPr>
        <w:t xml:space="preserve">of the DC cases where issues tend to arise are brownfield developments. </w:t>
      </w:r>
      <w:r w:rsidR="00D430AF">
        <w:rPr>
          <w:lang w:val="en-GB" w:eastAsia="zh-TW"/>
        </w:rPr>
        <w:t xml:space="preserve">While greenfield investments benefit </w:t>
      </w:r>
      <w:r w:rsidR="004932EF">
        <w:rPr>
          <w:lang w:val="en-GB" w:eastAsia="zh-TW"/>
        </w:rPr>
        <w:t xml:space="preserve">in </w:t>
      </w:r>
      <w:r w:rsidR="001532F2">
        <w:rPr>
          <w:lang w:val="en-GB" w:eastAsia="zh-TW"/>
        </w:rPr>
        <w:t>simplicity</w:t>
      </w:r>
      <w:r w:rsidR="004932EF">
        <w:rPr>
          <w:lang w:val="en-GB" w:eastAsia="zh-TW"/>
        </w:rPr>
        <w:t xml:space="preserve"> from being a blank canvas, i</w:t>
      </w:r>
      <w:r w:rsidR="006D6714">
        <w:rPr>
          <w:lang w:val="en-GB" w:eastAsia="zh-TW"/>
        </w:rPr>
        <w:t>n order to properly assess DCs for brownfield developments, councils must understand and accurately account for the pre-existing infrastructure on the site</w:t>
      </w:r>
      <w:r w:rsidR="004932EF">
        <w:rPr>
          <w:lang w:val="en-GB" w:eastAsia="zh-TW"/>
        </w:rPr>
        <w:t xml:space="preserve">. </w:t>
      </w:r>
      <w:r w:rsidR="004E6BED">
        <w:rPr>
          <w:lang w:val="en-GB" w:eastAsia="zh-TW"/>
        </w:rPr>
        <w:t>Pre-existing infrastructure is accounted for through HUE credits, which reduce the total DCs. HUE credits can also be applied to greenfield developments (to account for infrastructure built by the developer during the development p</w:t>
      </w:r>
      <w:r w:rsidR="001532F2">
        <w:rPr>
          <w:lang w:val="en-GB" w:eastAsia="zh-TW"/>
        </w:rPr>
        <w:t>rocess</w:t>
      </w:r>
      <w:r w:rsidR="004E6BED">
        <w:rPr>
          <w:lang w:val="en-GB" w:eastAsia="zh-TW"/>
        </w:rPr>
        <w:t xml:space="preserve">), however </w:t>
      </w:r>
      <w:r w:rsidR="00F418DD">
        <w:rPr>
          <w:lang w:val="en-GB" w:eastAsia="zh-TW"/>
        </w:rPr>
        <w:t xml:space="preserve">HUE credits more </w:t>
      </w:r>
      <w:r w:rsidR="004E6BED">
        <w:rPr>
          <w:lang w:val="en-GB" w:eastAsia="zh-TW"/>
        </w:rPr>
        <w:t>commonly apply to pre-existing brownfield infrastructure.</w:t>
      </w:r>
    </w:p>
    <w:p w14:paraId="0132BA0E" w14:textId="4A1D4BE6" w:rsidR="00FF7CA5" w:rsidRDefault="00704B7F" w:rsidP="00471B97">
      <w:pPr>
        <w:spacing w:after="240"/>
        <w:rPr>
          <w:lang w:val="en-GB" w:eastAsia="zh-TW"/>
        </w:rPr>
      </w:pPr>
      <w:r>
        <w:rPr>
          <w:lang w:val="en-GB" w:eastAsia="zh-TW"/>
        </w:rPr>
        <w:t xml:space="preserve">As </w:t>
      </w:r>
      <w:r w:rsidR="008E0176">
        <w:rPr>
          <w:lang w:val="en-GB" w:eastAsia="zh-TW"/>
        </w:rPr>
        <w:t>in Case studies 1-5</w:t>
      </w:r>
      <w:r>
        <w:rPr>
          <w:lang w:val="en-GB" w:eastAsia="zh-TW"/>
        </w:rPr>
        <w:t>, i</w:t>
      </w:r>
      <w:r w:rsidR="0029666B">
        <w:rPr>
          <w:lang w:val="en-GB" w:eastAsia="zh-TW"/>
        </w:rPr>
        <w:t xml:space="preserve">n Foodstuffs </w:t>
      </w:r>
      <w:r>
        <w:rPr>
          <w:lang w:val="en-GB" w:eastAsia="zh-TW"/>
        </w:rPr>
        <w:t>property development experience</w:t>
      </w:r>
      <w:r w:rsidR="00AF2CBD">
        <w:rPr>
          <w:lang w:val="en-GB" w:eastAsia="zh-TW"/>
        </w:rPr>
        <w:t xml:space="preserve"> it is </w:t>
      </w:r>
      <w:r w:rsidR="0029666B">
        <w:rPr>
          <w:lang w:val="en-GB" w:eastAsia="zh-TW"/>
        </w:rPr>
        <w:t>common for councils to</w:t>
      </w:r>
      <w:r w:rsidR="00FF7CA5">
        <w:rPr>
          <w:lang w:val="en-GB" w:eastAsia="zh-TW"/>
        </w:rPr>
        <w:t>:</w:t>
      </w:r>
    </w:p>
    <w:p w14:paraId="76F7D4EB" w14:textId="77777777" w:rsidR="00FF7CA5" w:rsidRDefault="0029666B" w:rsidP="00471B97">
      <w:pPr>
        <w:pStyle w:val="ListParagraph"/>
        <w:numPr>
          <w:ilvl w:val="0"/>
          <w:numId w:val="18"/>
        </w:numPr>
        <w:spacing w:after="120" w:line="276" w:lineRule="auto"/>
        <w:ind w:left="714" w:hanging="357"/>
        <w:contextualSpacing w:val="0"/>
        <w:rPr>
          <w:lang w:val="en-GB" w:eastAsia="zh-TW"/>
        </w:rPr>
      </w:pPr>
      <w:r w:rsidRPr="00FF7CA5">
        <w:rPr>
          <w:lang w:val="en-GB" w:eastAsia="zh-TW"/>
        </w:rPr>
        <w:t>forget to account for pre-existing infrastructure</w:t>
      </w:r>
      <w:r w:rsidR="00FF7CA5">
        <w:rPr>
          <w:lang w:val="en-GB" w:eastAsia="zh-TW"/>
        </w:rPr>
        <w:t>;</w:t>
      </w:r>
    </w:p>
    <w:p w14:paraId="467F468B" w14:textId="51A88804" w:rsidR="00FF7CA5" w:rsidRDefault="0029666B" w:rsidP="00471B97">
      <w:pPr>
        <w:pStyle w:val="ListParagraph"/>
        <w:numPr>
          <w:ilvl w:val="0"/>
          <w:numId w:val="18"/>
        </w:numPr>
        <w:spacing w:after="120" w:line="276" w:lineRule="auto"/>
        <w:ind w:left="714" w:hanging="357"/>
        <w:contextualSpacing w:val="0"/>
        <w:rPr>
          <w:lang w:val="en-GB" w:eastAsia="zh-TW"/>
        </w:rPr>
      </w:pPr>
      <w:r w:rsidRPr="00FF7CA5">
        <w:rPr>
          <w:lang w:val="en-GB" w:eastAsia="zh-TW"/>
        </w:rPr>
        <w:t>assess only part of the pre-existing infrastructure</w:t>
      </w:r>
      <w:r w:rsidR="00FF7CA5">
        <w:rPr>
          <w:lang w:val="en-GB" w:eastAsia="zh-TW"/>
        </w:rPr>
        <w:t>; or</w:t>
      </w:r>
    </w:p>
    <w:p w14:paraId="7E86512B" w14:textId="04CB2D58" w:rsidR="00FF7CA5" w:rsidRPr="00FF7CA5" w:rsidRDefault="0029666B" w:rsidP="00471B97">
      <w:pPr>
        <w:pStyle w:val="ListParagraph"/>
        <w:numPr>
          <w:ilvl w:val="0"/>
          <w:numId w:val="18"/>
        </w:numPr>
        <w:spacing w:after="240" w:line="276" w:lineRule="auto"/>
        <w:ind w:left="714" w:hanging="357"/>
        <w:contextualSpacing w:val="0"/>
        <w:rPr>
          <w:lang w:val="en-GB" w:eastAsia="zh-TW"/>
        </w:rPr>
      </w:pPr>
      <w:r w:rsidRPr="00FF7CA5">
        <w:rPr>
          <w:lang w:val="en-GB" w:eastAsia="zh-TW"/>
        </w:rPr>
        <w:t xml:space="preserve">make an incorrect or </w:t>
      </w:r>
      <w:r w:rsidR="00F5239C" w:rsidRPr="00FF7CA5">
        <w:rPr>
          <w:lang w:val="en-GB" w:eastAsia="zh-TW"/>
        </w:rPr>
        <w:t>inaccurate</w:t>
      </w:r>
      <w:r w:rsidR="00FF7CA5">
        <w:rPr>
          <w:lang w:val="en-GB" w:eastAsia="zh-TW"/>
        </w:rPr>
        <w:t xml:space="preserve"> assessment of pre-</w:t>
      </w:r>
      <w:r w:rsidR="00242416">
        <w:rPr>
          <w:lang w:val="en-GB" w:eastAsia="zh-TW"/>
        </w:rPr>
        <w:t xml:space="preserve">existing </w:t>
      </w:r>
      <w:r w:rsidR="00FF7CA5">
        <w:rPr>
          <w:lang w:val="en-GB" w:eastAsia="zh-TW"/>
        </w:rPr>
        <w:t>infrastructure.</w:t>
      </w:r>
    </w:p>
    <w:p w14:paraId="65A0BC7E" w14:textId="0F73B75E" w:rsidR="00CF2AE8" w:rsidRDefault="00B6426D" w:rsidP="002F2D84">
      <w:pPr>
        <w:rPr>
          <w:lang w:val="en-GB" w:eastAsia="zh-TW"/>
        </w:rPr>
      </w:pPr>
      <w:r>
        <w:rPr>
          <w:lang w:val="en-GB" w:eastAsia="zh-TW"/>
        </w:rPr>
        <w:t>One of the major factors</w:t>
      </w:r>
      <w:r w:rsidR="004A5F52" w:rsidRPr="004A5F52">
        <w:rPr>
          <w:lang w:val="en-GB" w:eastAsia="zh-TW"/>
        </w:rPr>
        <w:t xml:space="preserve"> </w:t>
      </w:r>
      <w:r w:rsidR="004A5F52">
        <w:rPr>
          <w:lang w:val="en-GB" w:eastAsia="zh-TW"/>
        </w:rPr>
        <w:t>contributing</w:t>
      </w:r>
      <w:r>
        <w:rPr>
          <w:lang w:val="en-GB" w:eastAsia="zh-TW"/>
        </w:rPr>
        <w:t xml:space="preserve"> to this</w:t>
      </w:r>
      <w:r w:rsidR="005D224C">
        <w:rPr>
          <w:lang w:val="en-GB" w:eastAsia="zh-TW"/>
        </w:rPr>
        <w:t xml:space="preserve"> pre-existing infrastructure</w:t>
      </w:r>
      <w:r>
        <w:rPr>
          <w:lang w:val="en-GB" w:eastAsia="zh-TW"/>
        </w:rPr>
        <w:t xml:space="preserve"> issue appears to be poorly managed and maintained council building records. </w:t>
      </w:r>
      <w:r w:rsidR="004A5F52">
        <w:rPr>
          <w:lang w:val="en-GB" w:eastAsia="zh-TW"/>
        </w:rPr>
        <w:t>Instead of being able to quickly access</w:t>
      </w:r>
      <w:r w:rsidR="00CE58C0">
        <w:rPr>
          <w:lang w:val="en-GB" w:eastAsia="zh-TW"/>
        </w:rPr>
        <w:t xml:space="preserve"> site information on its database or online, often councils will have to seek out archival blueprint</w:t>
      </w:r>
      <w:r w:rsidR="00F703F3">
        <w:rPr>
          <w:lang w:val="en-GB" w:eastAsia="zh-TW"/>
        </w:rPr>
        <w:t>s</w:t>
      </w:r>
      <w:r w:rsidR="00CE58C0">
        <w:rPr>
          <w:lang w:val="en-GB" w:eastAsia="zh-TW"/>
        </w:rPr>
        <w:t xml:space="preserve"> and </w:t>
      </w:r>
      <w:r w:rsidR="00F703F3">
        <w:rPr>
          <w:lang w:val="en-GB" w:eastAsia="zh-TW"/>
        </w:rPr>
        <w:t xml:space="preserve">site </w:t>
      </w:r>
      <w:r w:rsidR="00CE58C0">
        <w:rPr>
          <w:lang w:val="en-GB" w:eastAsia="zh-TW"/>
        </w:rPr>
        <w:t xml:space="preserve">papers to understand the infrastructure </w:t>
      </w:r>
      <w:r w:rsidR="00F703F3">
        <w:rPr>
          <w:lang w:val="en-GB" w:eastAsia="zh-TW"/>
        </w:rPr>
        <w:t>surrounding</w:t>
      </w:r>
      <w:r w:rsidR="00CE58C0">
        <w:rPr>
          <w:lang w:val="en-GB" w:eastAsia="zh-TW"/>
        </w:rPr>
        <w:t xml:space="preserve"> </w:t>
      </w:r>
      <w:r w:rsidR="00901BEF">
        <w:rPr>
          <w:lang w:val="en-GB" w:eastAsia="zh-TW"/>
        </w:rPr>
        <w:t>the</w:t>
      </w:r>
      <w:r w:rsidR="00CF2AE8">
        <w:rPr>
          <w:lang w:val="en-GB" w:eastAsia="zh-TW"/>
        </w:rPr>
        <w:t xml:space="preserve"> site. If the building records cannot be located or are incomplete, incorrect HUE credit calculations may well follow. </w:t>
      </w:r>
    </w:p>
    <w:p w14:paraId="0AF8D123" w14:textId="4B328984" w:rsidR="00CF2AE8" w:rsidRPr="00901BEF" w:rsidRDefault="00CF2AE8" w:rsidP="00CF2AE8">
      <w:pPr>
        <w:pStyle w:val="Heading2"/>
      </w:pPr>
      <w:bookmarkStart w:id="47" w:name="_Toc533411205"/>
      <w:r>
        <w:lastRenderedPageBreak/>
        <w:t>Communication</w:t>
      </w:r>
      <w:r w:rsidR="00661EAA">
        <w:t>s</w:t>
      </w:r>
      <w:r>
        <w:t xml:space="preserve"> within council</w:t>
      </w:r>
      <w:r w:rsidR="00661EAA">
        <w:t>s</w:t>
      </w:r>
      <w:bookmarkEnd w:id="47"/>
      <w:r>
        <w:t xml:space="preserve"> </w:t>
      </w:r>
    </w:p>
    <w:p w14:paraId="19A28E28" w14:textId="43BF4A13" w:rsidR="00D726FF" w:rsidRDefault="004A5F52" w:rsidP="002F2D84">
      <w:pPr>
        <w:rPr>
          <w:lang w:val="en-GB" w:eastAsia="zh-TW"/>
        </w:rPr>
      </w:pPr>
      <w:r>
        <w:rPr>
          <w:lang w:val="en-GB" w:eastAsia="zh-TW"/>
        </w:rPr>
        <w:t>A</w:t>
      </w:r>
      <w:r w:rsidR="006F5BBB">
        <w:rPr>
          <w:lang w:val="en-GB" w:eastAsia="zh-TW"/>
        </w:rPr>
        <w:t xml:space="preserve">nother major cause of incorrect DC </w:t>
      </w:r>
      <w:proofErr w:type="gramStart"/>
      <w:r w:rsidR="006F5BBB">
        <w:rPr>
          <w:lang w:val="en-GB" w:eastAsia="zh-TW"/>
        </w:rPr>
        <w:t>charges</w:t>
      </w:r>
      <w:proofErr w:type="gramEnd"/>
      <w:r w:rsidR="006F5BBB">
        <w:rPr>
          <w:lang w:val="en-GB" w:eastAsia="zh-TW"/>
        </w:rPr>
        <w:t xml:space="preserve"> is poor communication within councils. This often links directly with issues surrounding </w:t>
      </w:r>
      <w:r w:rsidR="00380D2B">
        <w:rPr>
          <w:lang w:val="en-GB" w:eastAsia="zh-TW"/>
        </w:rPr>
        <w:t>building re</w:t>
      </w:r>
      <w:r>
        <w:rPr>
          <w:lang w:val="en-GB" w:eastAsia="zh-TW"/>
        </w:rPr>
        <w:t xml:space="preserve">cords, as to </w:t>
      </w:r>
      <w:proofErr w:type="gramStart"/>
      <w:r>
        <w:rPr>
          <w:lang w:val="en-GB" w:eastAsia="zh-TW"/>
        </w:rPr>
        <w:t>whether or not</w:t>
      </w:r>
      <w:proofErr w:type="gramEnd"/>
      <w:r>
        <w:rPr>
          <w:lang w:val="en-GB" w:eastAsia="zh-TW"/>
        </w:rPr>
        <w:t xml:space="preserve"> the records</w:t>
      </w:r>
      <w:r w:rsidR="00380D2B">
        <w:rPr>
          <w:lang w:val="en-GB" w:eastAsia="zh-TW"/>
        </w:rPr>
        <w:t xml:space="preserve"> have </w:t>
      </w:r>
      <w:r>
        <w:rPr>
          <w:lang w:val="en-GB" w:eastAsia="zh-TW"/>
        </w:rPr>
        <w:t xml:space="preserve"> </w:t>
      </w:r>
      <w:r w:rsidR="00380D2B">
        <w:rPr>
          <w:lang w:val="en-GB" w:eastAsia="zh-TW"/>
        </w:rPr>
        <w:t>succe</w:t>
      </w:r>
      <w:r w:rsidR="00785496">
        <w:rPr>
          <w:lang w:val="en-GB" w:eastAsia="zh-TW"/>
        </w:rPr>
        <w:t xml:space="preserve">ssfully (and in their entirety) been passed between the </w:t>
      </w:r>
      <w:r w:rsidR="00590F69">
        <w:rPr>
          <w:lang w:val="en-GB" w:eastAsia="zh-TW"/>
        </w:rPr>
        <w:t xml:space="preserve">members of staff involved. Developers often find that throughout the six years it takes to complete a development (for example), there can be multiple staff change-overs. </w:t>
      </w:r>
      <w:r w:rsidR="004714AD">
        <w:rPr>
          <w:lang w:val="en-GB" w:eastAsia="zh-TW"/>
        </w:rPr>
        <w:t xml:space="preserve">This can lead to inconsistencies in information and communications across this period, </w:t>
      </w:r>
      <w:r w:rsidR="000D4964">
        <w:rPr>
          <w:lang w:val="en-GB" w:eastAsia="zh-TW"/>
        </w:rPr>
        <w:t xml:space="preserve">and ultimately incorrect charges. </w:t>
      </w:r>
    </w:p>
    <w:p w14:paraId="6E2DBE96" w14:textId="6171DAEE" w:rsidR="0091265A" w:rsidRDefault="0091265A" w:rsidP="002F2D84">
      <w:pPr>
        <w:rPr>
          <w:lang w:val="en-GB" w:eastAsia="zh-TW"/>
        </w:rPr>
      </w:pPr>
      <w:r>
        <w:rPr>
          <w:lang w:val="en-GB" w:eastAsia="zh-TW"/>
        </w:rPr>
        <w:t xml:space="preserve">A small communication issue within a local council can result in a mistreatment of HUEs, with consequences that can be worth tens of thousands of dollars. </w:t>
      </w:r>
      <w:r w:rsidR="006F171C">
        <w:rPr>
          <w:lang w:val="en-GB" w:eastAsia="zh-TW"/>
        </w:rPr>
        <w:t>This begs the question of whether a major funding system like this justifies the use of better and more reliable systems.</w:t>
      </w:r>
    </w:p>
    <w:p w14:paraId="62CF4734" w14:textId="40BB5DB6" w:rsidR="00D726FF" w:rsidRPr="00901BEF" w:rsidRDefault="004E7EAA" w:rsidP="00D726FF">
      <w:pPr>
        <w:pStyle w:val="Heading2"/>
      </w:pPr>
      <w:bookmarkStart w:id="48" w:name="_Toc533411206"/>
      <w:r>
        <w:t>System complexity</w:t>
      </w:r>
      <w:bookmarkEnd w:id="48"/>
    </w:p>
    <w:p w14:paraId="7C1F9620" w14:textId="4932F0D3" w:rsidR="00D726FF" w:rsidRDefault="00E8558B" w:rsidP="006F171C">
      <w:pPr>
        <w:tabs>
          <w:tab w:val="left" w:pos="1660"/>
        </w:tabs>
        <w:rPr>
          <w:lang w:val="en-GB" w:eastAsia="zh-TW"/>
        </w:rPr>
      </w:pPr>
      <w:r>
        <w:rPr>
          <w:lang w:val="en-GB" w:eastAsia="zh-TW"/>
        </w:rPr>
        <w:t>It is widely agreed th</w:t>
      </w:r>
      <w:r w:rsidR="0032032B">
        <w:rPr>
          <w:lang w:val="en-GB" w:eastAsia="zh-TW"/>
        </w:rPr>
        <w:t xml:space="preserve">at DC charges are not simple mechanisms. </w:t>
      </w:r>
      <w:r w:rsidR="003D6112">
        <w:rPr>
          <w:lang w:val="en-GB" w:eastAsia="zh-TW"/>
        </w:rPr>
        <w:t>DC policies can be anywhere</w:t>
      </w:r>
      <w:r w:rsidR="006345CE">
        <w:rPr>
          <w:lang w:val="en-GB" w:eastAsia="zh-TW"/>
        </w:rPr>
        <w:t xml:space="preserve"> up to the</w:t>
      </w:r>
      <w:r w:rsidR="003D6112">
        <w:rPr>
          <w:lang w:val="en-GB" w:eastAsia="zh-TW"/>
        </w:rPr>
        <w:t xml:space="preserve"> </w:t>
      </w:r>
      <w:proofErr w:type="gramStart"/>
      <w:r w:rsidR="003D6112">
        <w:rPr>
          <w:lang w:val="en-GB" w:eastAsia="zh-TW"/>
        </w:rPr>
        <w:t>64 page</w:t>
      </w:r>
      <w:proofErr w:type="gramEnd"/>
      <w:r w:rsidR="003D6112">
        <w:rPr>
          <w:lang w:val="en-GB" w:eastAsia="zh-TW"/>
        </w:rPr>
        <w:t xml:space="preserve"> 2018/19 DC Policy complemented by a 94 page detailed support document used by QLDC. Among these documents are a series of calculations ranging from easily understood </w:t>
      </w:r>
      <w:r w:rsidR="0047185B">
        <w:rPr>
          <w:lang w:val="en-GB" w:eastAsia="zh-TW"/>
        </w:rPr>
        <w:t xml:space="preserve">arithmetic </w:t>
      </w:r>
      <w:r w:rsidR="003D6112">
        <w:rPr>
          <w:lang w:val="en-GB" w:eastAsia="zh-TW"/>
        </w:rPr>
        <w:t xml:space="preserve">to complex formulae that </w:t>
      </w:r>
      <w:r w:rsidR="0047185B">
        <w:rPr>
          <w:lang w:val="en-GB" w:eastAsia="zh-TW"/>
        </w:rPr>
        <w:t xml:space="preserve">can </w:t>
      </w:r>
      <w:r w:rsidR="003D6112">
        <w:rPr>
          <w:lang w:val="en-GB" w:eastAsia="zh-TW"/>
        </w:rPr>
        <w:t xml:space="preserve">require an economic or mathematically orientated mind to </w:t>
      </w:r>
      <w:r w:rsidR="0047185B">
        <w:rPr>
          <w:lang w:val="en-GB" w:eastAsia="zh-TW"/>
        </w:rPr>
        <w:t>comprehend</w:t>
      </w:r>
      <w:r w:rsidR="003D6112">
        <w:rPr>
          <w:lang w:val="en-GB" w:eastAsia="zh-TW"/>
        </w:rPr>
        <w:t xml:space="preserve">. </w:t>
      </w:r>
      <w:r w:rsidR="00977798">
        <w:rPr>
          <w:lang w:val="en-GB" w:eastAsia="zh-TW"/>
        </w:rPr>
        <w:t xml:space="preserve">Through their experience with different councils over the years, Foodstuffs </w:t>
      </w:r>
      <w:r w:rsidR="004C317A">
        <w:rPr>
          <w:lang w:val="en-GB" w:eastAsia="zh-TW"/>
        </w:rPr>
        <w:t>has</w:t>
      </w:r>
      <w:r w:rsidR="00977798">
        <w:rPr>
          <w:lang w:val="en-GB" w:eastAsia="zh-TW"/>
        </w:rPr>
        <w:t xml:space="preserve"> realise</w:t>
      </w:r>
      <w:r w:rsidR="004C317A">
        <w:rPr>
          <w:lang w:val="en-GB" w:eastAsia="zh-TW"/>
        </w:rPr>
        <w:t>d</w:t>
      </w:r>
      <w:r w:rsidR="003A2AA3">
        <w:rPr>
          <w:lang w:val="en-GB" w:eastAsia="zh-TW"/>
        </w:rPr>
        <w:t xml:space="preserve"> that often very</w:t>
      </w:r>
      <w:r w:rsidR="00977798">
        <w:rPr>
          <w:lang w:val="en-GB" w:eastAsia="zh-TW"/>
        </w:rPr>
        <w:t xml:space="preserve"> few council members truly understand the ins and outs of the DC policies they administer. </w:t>
      </w:r>
      <w:r w:rsidR="00724557">
        <w:rPr>
          <w:lang w:val="en-GB" w:eastAsia="zh-TW"/>
        </w:rPr>
        <w:t xml:space="preserve">This of course varies from council to council, however especially for those councils with particularly complex </w:t>
      </w:r>
      <w:r w:rsidR="002F5291">
        <w:rPr>
          <w:lang w:val="en-GB" w:eastAsia="zh-TW"/>
        </w:rPr>
        <w:t xml:space="preserve">charging mechanisms, </w:t>
      </w:r>
      <w:r w:rsidR="00DE253E">
        <w:rPr>
          <w:lang w:val="en-GB" w:eastAsia="zh-TW"/>
        </w:rPr>
        <w:t xml:space="preserve">there can often be a </w:t>
      </w:r>
      <w:r w:rsidR="00CA66D1">
        <w:rPr>
          <w:lang w:val="en-GB" w:eastAsia="zh-TW"/>
        </w:rPr>
        <w:t>comprehension</w:t>
      </w:r>
      <w:r w:rsidR="00DE253E">
        <w:rPr>
          <w:lang w:val="en-GB" w:eastAsia="zh-TW"/>
        </w:rPr>
        <w:t xml:space="preserve"> gap</w:t>
      </w:r>
      <w:r w:rsidR="00CA66D1">
        <w:rPr>
          <w:lang w:val="en-GB" w:eastAsia="zh-TW"/>
        </w:rPr>
        <w:t xml:space="preserve"> within the council itself</w:t>
      </w:r>
      <w:r w:rsidR="00DE253E">
        <w:rPr>
          <w:lang w:val="en-GB" w:eastAsia="zh-TW"/>
        </w:rPr>
        <w:t xml:space="preserve">. </w:t>
      </w:r>
      <w:r w:rsidR="00DE67A3">
        <w:rPr>
          <w:lang w:val="en-GB" w:eastAsia="zh-TW"/>
        </w:rPr>
        <w:t xml:space="preserve">This does not </w:t>
      </w:r>
      <w:r w:rsidR="00312B2A">
        <w:rPr>
          <w:lang w:val="en-GB" w:eastAsia="zh-TW"/>
        </w:rPr>
        <w:t>assist in creating</w:t>
      </w:r>
      <w:r w:rsidR="00DE67A3">
        <w:rPr>
          <w:lang w:val="en-GB" w:eastAsia="zh-TW"/>
        </w:rPr>
        <w:t xml:space="preserve"> an environment where developers feel confident in the accuracy of the assessments they pay. </w:t>
      </w:r>
    </w:p>
    <w:p w14:paraId="1A93D8F0" w14:textId="5236078B" w:rsidR="00BE0A86" w:rsidRDefault="00B81A8F" w:rsidP="006F171C">
      <w:pPr>
        <w:tabs>
          <w:tab w:val="left" w:pos="1660"/>
        </w:tabs>
        <w:rPr>
          <w:lang w:val="en-GB" w:eastAsia="zh-TW"/>
        </w:rPr>
      </w:pPr>
      <w:r>
        <w:rPr>
          <w:lang w:val="en-GB" w:eastAsia="zh-TW"/>
        </w:rPr>
        <w:t>As an example, it appears that QLDC</w:t>
      </w:r>
      <w:r w:rsidR="006345CE">
        <w:rPr>
          <w:lang w:val="en-GB" w:eastAsia="zh-TW"/>
        </w:rPr>
        <w:t>’s</w:t>
      </w:r>
      <w:r>
        <w:rPr>
          <w:lang w:val="en-GB" w:eastAsia="zh-TW"/>
        </w:rPr>
        <w:t xml:space="preserve"> 2018/19 DC Policy and </w:t>
      </w:r>
      <w:r w:rsidR="00CF27E5">
        <w:rPr>
          <w:lang w:val="en-GB" w:eastAsia="zh-TW"/>
        </w:rPr>
        <w:t>‘</w:t>
      </w:r>
      <w:r>
        <w:rPr>
          <w:lang w:val="en-GB" w:eastAsia="zh-TW"/>
        </w:rPr>
        <w:t>detailed support document</w:t>
      </w:r>
      <w:r w:rsidR="00CF27E5">
        <w:rPr>
          <w:lang w:val="en-GB" w:eastAsia="zh-TW"/>
        </w:rPr>
        <w:t>’ were</w:t>
      </w:r>
      <w:r>
        <w:rPr>
          <w:lang w:val="en-GB" w:eastAsia="zh-TW"/>
        </w:rPr>
        <w:t xml:space="preserve"> produced in conjunction with Rationale Ltd, an infrastructure consultancy firm. </w:t>
      </w:r>
      <w:r w:rsidR="00177F42">
        <w:rPr>
          <w:lang w:val="en-GB" w:eastAsia="zh-TW"/>
        </w:rPr>
        <w:t xml:space="preserve">It seems quite possible that despite the fact that this is QLDC’s system, council members themselves also struggle to fully understand the workings of this complex system. Especially considering QLDC updates its DC policy annually, it </w:t>
      </w:r>
      <w:r w:rsidR="00162F03">
        <w:rPr>
          <w:lang w:val="en-GB" w:eastAsia="zh-TW"/>
        </w:rPr>
        <w:t xml:space="preserve">can be </w:t>
      </w:r>
      <w:r w:rsidR="00177F42">
        <w:rPr>
          <w:lang w:val="en-GB" w:eastAsia="zh-TW"/>
        </w:rPr>
        <w:t>particularly challenging for all invol</w:t>
      </w:r>
      <w:r w:rsidR="00162F03">
        <w:rPr>
          <w:lang w:val="en-GB" w:eastAsia="zh-TW"/>
        </w:rPr>
        <w:t xml:space="preserve">ved to keep up with the system. New or newly promoted staff are likely to find it particularly challenging to harness these charging mechanisms, and may be particularly prone to making mistakes, with hefty financial consequences. </w:t>
      </w:r>
    </w:p>
    <w:p w14:paraId="0D0C8616" w14:textId="4F21004B" w:rsidR="004E7EAA" w:rsidRPr="004E7EAA" w:rsidRDefault="004E7EAA" w:rsidP="004E7EAA">
      <w:pPr>
        <w:pStyle w:val="Heading2"/>
      </w:pPr>
      <w:bookmarkStart w:id="49" w:name="_Toc533411207"/>
      <w:r>
        <w:t>Council</w:t>
      </w:r>
      <w:r w:rsidR="00661EAA">
        <w:t>’s</w:t>
      </w:r>
      <w:r>
        <w:t xml:space="preserve"> resources</w:t>
      </w:r>
      <w:bookmarkEnd w:id="49"/>
    </w:p>
    <w:p w14:paraId="670D1228" w14:textId="77ADE306" w:rsidR="00B770A8" w:rsidRDefault="004E7EAA" w:rsidP="00F668E3">
      <w:pPr>
        <w:tabs>
          <w:tab w:val="left" w:pos="1660"/>
        </w:tabs>
        <w:rPr>
          <w:lang w:val="en-GB" w:eastAsia="zh-TW"/>
        </w:rPr>
      </w:pPr>
      <w:r>
        <w:rPr>
          <w:lang w:val="en-GB" w:eastAsia="zh-TW"/>
        </w:rPr>
        <w:t xml:space="preserve">Given the complexity </w:t>
      </w:r>
      <w:r w:rsidR="000A3CD3">
        <w:rPr>
          <w:lang w:val="en-GB" w:eastAsia="zh-TW"/>
        </w:rPr>
        <w:t xml:space="preserve">and technical nature </w:t>
      </w:r>
      <w:r>
        <w:rPr>
          <w:lang w:val="en-GB" w:eastAsia="zh-TW"/>
        </w:rPr>
        <w:t>of DC charging,</w:t>
      </w:r>
      <w:r w:rsidR="006345CE">
        <w:rPr>
          <w:lang w:val="en-GB" w:eastAsia="zh-TW"/>
        </w:rPr>
        <w:t xml:space="preserve"> the</w:t>
      </w:r>
      <w:r>
        <w:rPr>
          <w:lang w:val="en-GB" w:eastAsia="zh-TW"/>
        </w:rPr>
        <w:t xml:space="preserve"> </w:t>
      </w:r>
      <w:r w:rsidR="000A3CD3">
        <w:rPr>
          <w:lang w:val="en-GB" w:eastAsia="zh-TW"/>
        </w:rPr>
        <w:t xml:space="preserve">development, application and renewal of this system </w:t>
      </w:r>
      <w:r w:rsidR="00B66F86">
        <w:rPr>
          <w:lang w:val="en-GB" w:eastAsia="zh-TW"/>
        </w:rPr>
        <w:t>can be</w:t>
      </w:r>
      <w:r w:rsidR="00F35370">
        <w:rPr>
          <w:lang w:val="en-GB" w:eastAsia="zh-TW"/>
        </w:rPr>
        <w:t xml:space="preserve"> </w:t>
      </w:r>
      <w:r w:rsidR="006345CE">
        <w:rPr>
          <w:lang w:val="en-GB" w:eastAsia="zh-TW"/>
        </w:rPr>
        <w:t>quite</w:t>
      </w:r>
      <w:r w:rsidR="00B66F86">
        <w:rPr>
          <w:lang w:val="en-GB" w:eastAsia="zh-TW"/>
        </w:rPr>
        <w:t xml:space="preserve"> labour-intensive for councils.</w:t>
      </w:r>
      <w:r w:rsidR="00F668E3">
        <w:rPr>
          <w:lang w:val="en-GB" w:eastAsia="zh-TW"/>
        </w:rPr>
        <w:t xml:space="preserve"> Through our discussions we found that it is not uncommon for councils to have to </w:t>
      </w:r>
      <w:r w:rsidR="004806E9">
        <w:rPr>
          <w:lang w:val="en-GB" w:eastAsia="zh-TW"/>
        </w:rPr>
        <w:t xml:space="preserve">extend timelines for </w:t>
      </w:r>
      <w:r w:rsidR="00F668E3">
        <w:rPr>
          <w:lang w:val="en-GB" w:eastAsia="zh-TW"/>
        </w:rPr>
        <w:t xml:space="preserve">their amended DC </w:t>
      </w:r>
      <w:proofErr w:type="gramStart"/>
      <w:r w:rsidR="00F668E3">
        <w:rPr>
          <w:lang w:val="en-GB" w:eastAsia="zh-TW"/>
        </w:rPr>
        <w:t>policies,</w:t>
      </w:r>
      <w:r w:rsidR="008F106E">
        <w:rPr>
          <w:lang w:val="en-GB" w:eastAsia="zh-TW"/>
        </w:rPr>
        <w:t xml:space="preserve"> </w:t>
      </w:r>
      <w:r w:rsidR="00F668E3">
        <w:rPr>
          <w:lang w:val="en-GB" w:eastAsia="zh-TW"/>
        </w:rPr>
        <w:t>or</w:t>
      </w:r>
      <w:proofErr w:type="gramEnd"/>
      <w:r w:rsidR="00F668E3">
        <w:rPr>
          <w:lang w:val="en-GB" w:eastAsia="zh-TW"/>
        </w:rPr>
        <w:t xml:space="preserve"> generate </w:t>
      </w:r>
      <w:r w:rsidR="003D1277">
        <w:rPr>
          <w:lang w:val="en-GB" w:eastAsia="zh-TW"/>
        </w:rPr>
        <w:t>sub-optimal</w:t>
      </w:r>
      <w:r w:rsidR="00F668E3">
        <w:rPr>
          <w:lang w:val="en-GB" w:eastAsia="zh-TW"/>
        </w:rPr>
        <w:t xml:space="preserve"> policies that </w:t>
      </w:r>
      <w:r w:rsidR="006345CE">
        <w:rPr>
          <w:lang w:val="en-GB" w:eastAsia="zh-TW"/>
        </w:rPr>
        <w:t>are</w:t>
      </w:r>
      <w:r w:rsidR="00F668E3">
        <w:rPr>
          <w:lang w:val="en-GB" w:eastAsia="zh-TW"/>
        </w:rPr>
        <w:t xml:space="preserve"> rushed in their development. </w:t>
      </w:r>
      <w:r w:rsidR="00B770A8">
        <w:rPr>
          <w:lang w:val="en-GB" w:eastAsia="zh-TW"/>
        </w:rPr>
        <w:t>If a council releases a policy with inaccurate charging mechanisms or mistakes in the calculation due to insufficient resources i</w:t>
      </w:r>
      <w:r w:rsidR="006345CE">
        <w:rPr>
          <w:lang w:val="en-GB" w:eastAsia="zh-TW"/>
        </w:rPr>
        <w:t>n policy development, this has</w:t>
      </w:r>
      <w:r w:rsidR="00B770A8">
        <w:rPr>
          <w:lang w:val="en-GB" w:eastAsia="zh-TW"/>
        </w:rPr>
        <w:t xml:space="preserve"> implications </w:t>
      </w:r>
      <w:r w:rsidR="006345CE">
        <w:rPr>
          <w:lang w:val="en-GB" w:eastAsia="zh-TW"/>
        </w:rPr>
        <w:t>for the</w:t>
      </w:r>
      <w:r w:rsidR="00B770A8">
        <w:rPr>
          <w:lang w:val="en-GB" w:eastAsia="zh-TW"/>
        </w:rPr>
        <w:t xml:space="preserve"> charges paid by developers. </w:t>
      </w:r>
    </w:p>
    <w:p w14:paraId="03153615" w14:textId="21D14B6D" w:rsidR="0073253B" w:rsidRDefault="0073253B" w:rsidP="0073253B">
      <w:pPr>
        <w:pStyle w:val="Heading2"/>
      </w:pPr>
      <w:bookmarkStart w:id="50" w:name="_Toc533411208"/>
      <w:r>
        <w:t>Lack of unification of DC charges</w:t>
      </w:r>
      <w:bookmarkEnd w:id="50"/>
    </w:p>
    <w:p w14:paraId="2ECA5B17" w14:textId="2F636BCF" w:rsidR="00F522F0" w:rsidRDefault="00212D92" w:rsidP="00D86193">
      <w:pPr>
        <w:rPr>
          <w:lang w:val="en-GB" w:eastAsia="zh-TW"/>
        </w:rPr>
      </w:pPr>
      <w:r>
        <w:rPr>
          <w:lang w:val="en-GB" w:eastAsia="zh-TW"/>
        </w:rPr>
        <w:t xml:space="preserve">DC charging is currently set-up </w:t>
      </w:r>
      <w:r w:rsidR="00D86193">
        <w:rPr>
          <w:lang w:val="en-GB" w:eastAsia="zh-TW"/>
        </w:rPr>
        <w:t>whereby</w:t>
      </w:r>
      <w:r w:rsidR="00D57658">
        <w:rPr>
          <w:lang w:val="en-GB" w:eastAsia="zh-TW"/>
        </w:rPr>
        <w:t xml:space="preserve"> each local council </w:t>
      </w:r>
      <w:r w:rsidR="00C9640B">
        <w:rPr>
          <w:lang w:val="en-GB" w:eastAsia="zh-TW"/>
        </w:rPr>
        <w:t>create</w:t>
      </w:r>
      <w:r w:rsidR="00D86193">
        <w:rPr>
          <w:lang w:val="en-GB" w:eastAsia="zh-TW"/>
        </w:rPr>
        <w:t>s</w:t>
      </w:r>
      <w:r w:rsidR="00C9640B">
        <w:rPr>
          <w:lang w:val="en-GB" w:eastAsia="zh-TW"/>
        </w:rPr>
        <w:t xml:space="preserve"> and appl</w:t>
      </w:r>
      <w:r w:rsidR="00D86193">
        <w:rPr>
          <w:lang w:val="en-GB" w:eastAsia="zh-TW"/>
        </w:rPr>
        <w:t>ies</w:t>
      </w:r>
      <w:r w:rsidR="00C9640B">
        <w:rPr>
          <w:lang w:val="en-GB" w:eastAsia="zh-TW"/>
        </w:rPr>
        <w:t xml:space="preserve"> its own charging methodologies. </w:t>
      </w:r>
      <w:r w:rsidR="00A85107">
        <w:rPr>
          <w:lang w:val="en-GB" w:eastAsia="zh-TW"/>
        </w:rPr>
        <w:t xml:space="preserve">While the LGA establishes a set of DC principles that local councils must </w:t>
      </w:r>
      <w:proofErr w:type="gramStart"/>
      <w:r w:rsidR="00A85107">
        <w:rPr>
          <w:lang w:val="en-GB" w:eastAsia="zh-TW"/>
        </w:rPr>
        <w:t>take into account</w:t>
      </w:r>
      <w:proofErr w:type="gramEnd"/>
      <w:r w:rsidR="00A85107">
        <w:rPr>
          <w:lang w:val="en-GB" w:eastAsia="zh-TW"/>
        </w:rPr>
        <w:t>, it does not prescribe a set DC charging methodology, nor is there currently a set</w:t>
      </w:r>
      <w:r w:rsidR="005817DD">
        <w:rPr>
          <w:lang w:val="en-GB" w:eastAsia="zh-TW"/>
        </w:rPr>
        <w:t xml:space="preserve"> B</w:t>
      </w:r>
      <w:r w:rsidR="00A85107">
        <w:rPr>
          <w:lang w:val="en-GB" w:eastAsia="zh-TW"/>
        </w:rPr>
        <w:t>est-</w:t>
      </w:r>
      <w:r w:rsidR="005817DD">
        <w:rPr>
          <w:lang w:val="en-GB" w:eastAsia="zh-TW"/>
        </w:rPr>
        <w:t>P</w:t>
      </w:r>
      <w:r w:rsidR="00A85107">
        <w:rPr>
          <w:lang w:val="en-GB" w:eastAsia="zh-TW"/>
        </w:rPr>
        <w:t>ractice</w:t>
      </w:r>
      <w:r w:rsidR="005817DD">
        <w:rPr>
          <w:lang w:val="en-GB" w:eastAsia="zh-TW"/>
        </w:rPr>
        <w:t xml:space="preserve"> </w:t>
      </w:r>
      <w:r w:rsidR="00A85107">
        <w:rPr>
          <w:lang w:val="en-GB" w:eastAsia="zh-TW"/>
        </w:rPr>
        <w:t xml:space="preserve">guideline for DC charging. </w:t>
      </w:r>
      <w:r w:rsidR="00D86193">
        <w:rPr>
          <w:lang w:val="en-GB" w:eastAsia="zh-TW"/>
        </w:rPr>
        <w:t xml:space="preserve">While this appears to be </w:t>
      </w:r>
      <w:r w:rsidR="00F522F0">
        <w:rPr>
          <w:lang w:val="en-GB" w:eastAsia="zh-TW"/>
        </w:rPr>
        <w:t>based on</w:t>
      </w:r>
      <w:r w:rsidR="00D86193">
        <w:rPr>
          <w:lang w:val="en-GB" w:eastAsia="zh-TW"/>
        </w:rPr>
        <w:t xml:space="preserve"> allowing each local council to </w:t>
      </w:r>
      <w:r w:rsidR="00F522F0">
        <w:rPr>
          <w:lang w:val="en-GB" w:eastAsia="zh-TW"/>
        </w:rPr>
        <w:t>make policies in</w:t>
      </w:r>
      <w:r w:rsidR="00D86193">
        <w:rPr>
          <w:lang w:val="en-GB" w:eastAsia="zh-TW"/>
        </w:rPr>
        <w:t xml:space="preserve"> accord</w:t>
      </w:r>
      <w:r w:rsidR="00F522F0">
        <w:rPr>
          <w:lang w:val="en-GB" w:eastAsia="zh-TW"/>
        </w:rPr>
        <w:t>ance</w:t>
      </w:r>
      <w:r w:rsidR="00D86193">
        <w:rPr>
          <w:lang w:val="en-GB" w:eastAsia="zh-TW"/>
        </w:rPr>
        <w:t xml:space="preserve"> </w:t>
      </w:r>
      <w:r w:rsidR="00F522F0">
        <w:rPr>
          <w:lang w:val="en-GB" w:eastAsia="zh-TW"/>
        </w:rPr>
        <w:t>with</w:t>
      </w:r>
      <w:r w:rsidR="00D86193">
        <w:rPr>
          <w:lang w:val="en-GB" w:eastAsia="zh-TW"/>
        </w:rPr>
        <w:t xml:space="preserve"> its own values, we consider </w:t>
      </w:r>
      <w:r w:rsidR="00F522F0">
        <w:rPr>
          <w:lang w:val="en-GB" w:eastAsia="zh-TW"/>
        </w:rPr>
        <w:t>that a number of issues stem from this this lack of harmonisation and guidance on DC charging.</w:t>
      </w:r>
    </w:p>
    <w:p w14:paraId="27F1A887" w14:textId="3267992D" w:rsidR="00D86193" w:rsidRDefault="00D86193" w:rsidP="00471B97">
      <w:pPr>
        <w:spacing w:after="240"/>
        <w:rPr>
          <w:lang w:val="en-GB" w:eastAsia="zh-TW"/>
        </w:rPr>
      </w:pPr>
      <w:r>
        <w:rPr>
          <w:lang w:val="en-GB" w:eastAsia="zh-TW"/>
        </w:rPr>
        <w:t>These issues include:</w:t>
      </w:r>
    </w:p>
    <w:p w14:paraId="726126DA" w14:textId="04E00966" w:rsidR="00D86193" w:rsidRDefault="00D86193" w:rsidP="00471B97">
      <w:pPr>
        <w:pStyle w:val="ListParagraph"/>
        <w:numPr>
          <w:ilvl w:val="0"/>
          <w:numId w:val="27"/>
        </w:numPr>
        <w:spacing w:after="120" w:line="276" w:lineRule="auto"/>
        <w:ind w:left="714" w:hanging="357"/>
        <w:contextualSpacing w:val="0"/>
        <w:rPr>
          <w:lang w:val="en-GB" w:eastAsia="zh-TW"/>
        </w:rPr>
      </w:pPr>
      <w:r>
        <w:rPr>
          <w:lang w:val="en-GB" w:eastAsia="zh-TW"/>
        </w:rPr>
        <w:lastRenderedPageBreak/>
        <w:t>the current variation in charging mechanisms from council to council;</w:t>
      </w:r>
    </w:p>
    <w:p w14:paraId="27FD6DC1" w14:textId="77777777" w:rsidR="00D86193" w:rsidRDefault="00D86193" w:rsidP="00471B97">
      <w:pPr>
        <w:pStyle w:val="ListParagraph"/>
        <w:numPr>
          <w:ilvl w:val="0"/>
          <w:numId w:val="27"/>
        </w:numPr>
        <w:spacing w:after="120" w:line="276" w:lineRule="auto"/>
        <w:ind w:left="714" w:hanging="357"/>
        <w:contextualSpacing w:val="0"/>
        <w:rPr>
          <w:lang w:val="en-GB" w:eastAsia="zh-TW"/>
        </w:rPr>
      </w:pPr>
      <w:r>
        <w:rPr>
          <w:lang w:val="en-GB" w:eastAsia="zh-TW"/>
        </w:rPr>
        <w:t>the development of policies with flawed methodologies, errors and typos;</w:t>
      </w:r>
    </w:p>
    <w:p w14:paraId="21D5498D" w14:textId="2B96C8F6" w:rsidR="00D86193" w:rsidRDefault="00D86193" w:rsidP="00471B97">
      <w:pPr>
        <w:pStyle w:val="ListParagraph"/>
        <w:numPr>
          <w:ilvl w:val="0"/>
          <w:numId w:val="27"/>
        </w:numPr>
        <w:spacing w:after="120" w:line="276" w:lineRule="auto"/>
        <w:ind w:left="714" w:hanging="357"/>
        <w:contextualSpacing w:val="0"/>
        <w:rPr>
          <w:lang w:val="en-GB" w:eastAsia="zh-TW"/>
        </w:rPr>
      </w:pPr>
      <w:r>
        <w:rPr>
          <w:lang w:val="en-GB" w:eastAsia="zh-TW"/>
        </w:rPr>
        <w:t xml:space="preserve">significant time and resource pressure on local councils to </w:t>
      </w:r>
      <w:r w:rsidR="00F522F0">
        <w:rPr>
          <w:lang w:val="en-GB" w:eastAsia="zh-TW"/>
        </w:rPr>
        <w:t xml:space="preserve">individually </w:t>
      </w:r>
      <w:r>
        <w:rPr>
          <w:lang w:val="en-GB" w:eastAsia="zh-TW"/>
        </w:rPr>
        <w:t>develop and regularly update DC policies; and</w:t>
      </w:r>
    </w:p>
    <w:p w14:paraId="20996EB7" w14:textId="54747D01" w:rsidR="00D86193" w:rsidRDefault="00AA775A" w:rsidP="00471B97">
      <w:pPr>
        <w:pStyle w:val="ListParagraph"/>
        <w:numPr>
          <w:ilvl w:val="0"/>
          <w:numId w:val="27"/>
        </w:numPr>
        <w:spacing w:after="240" w:line="276" w:lineRule="auto"/>
        <w:ind w:left="714" w:hanging="357"/>
        <w:contextualSpacing w:val="0"/>
        <w:rPr>
          <w:lang w:val="en-GB" w:eastAsia="zh-TW"/>
        </w:rPr>
      </w:pPr>
      <w:r>
        <w:rPr>
          <w:lang w:val="en-GB" w:eastAsia="zh-TW"/>
        </w:rPr>
        <w:t xml:space="preserve">difficulties for developers working with multiple local councils and therefore multiple DC charging methodologies. </w:t>
      </w:r>
    </w:p>
    <w:p w14:paraId="19FEE416" w14:textId="3153AF26" w:rsidR="0073253B" w:rsidRDefault="00F522F0" w:rsidP="00D86193">
      <w:pPr>
        <w:rPr>
          <w:lang w:val="en-GB" w:eastAsia="zh-TW"/>
        </w:rPr>
      </w:pPr>
      <w:r>
        <w:rPr>
          <w:lang w:val="en-GB" w:eastAsia="zh-TW"/>
        </w:rPr>
        <w:t xml:space="preserve">Accordingly, we </w:t>
      </w:r>
      <w:r w:rsidR="00C61C40">
        <w:rPr>
          <w:lang w:val="en-GB" w:eastAsia="zh-TW"/>
        </w:rPr>
        <w:t xml:space="preserve">consider scope for change towards either a national unified DC charging regime (with one charging methodology, </w:t>
      </w:r>
      <w:r w:rsidR="00367FEA">
        <w:rPr>
          <w:lang w:val="en-GB" w:eastAsia="zh-TW"/>
        </w:rPr>
        <w:t>but where</w:t>
      </w:r>
      <w:r w:rsidR="00C61C40">
        <w:rPr>
          <w:lang w:val="en-GB" w:eastAsia="zh-TW"/>
        </w:rPr>
        <w:t xml:space="preserve"> each local council would input its own charging rates, reflecting its local costs within each DC category)</w:t>
      </w:r>
      <w:r w:rsidR="00367FEA">
        <w:rPr>
          <w:lang w:val="en-GB" w:eastAsia="zh-TW"/>
        </w:rPr>
        <w:t>, or the development of new ‘Best</w:t>
      </w:r>
      <w:r w:rsidR="005817DD">
        <w:rPr>
          <w:lang w:val="en-GB" w:eastAsia="zh-TW"/>
        </w:rPr>
        <w:t>-P</w:t>
      </w:r>
      <w:r w:rsidR="00367FEA">
        <w:rPr>
          <w:lang w:val="en-GB" w:eastAsia="zh-TW"/>
        </w:rPr>
        <w:t xml:space="preserve">ractice guidelines’ for local councils to charge DCs in accordance with. </w:t>
      </w:r>
    </w:p>
    <w:p w14:paraId="1D98BEA0" w14:textId="71B8D032" w:rsidR="00C027A8" w:rsidRDefault="004712C4" w:rsidP="00C027A8">
      <w:pPr>
        <w:pStyle w:val="Heading2"/>
      </w:pPr>
      <w:bookmarkStart w:id="51" w:name="_Toc533411209"/>
      <w:r>
        <w:t>Politic</w:t>
      </w:r>
      <w:r w:rsidR="00661EAA">
        <w:t>al pressures</w:t>
      </w:r>
      <w:bookmarkEnd w:id="51"/>
    </w:p>
    <w:p w14:paraId="6129A1AD" w14:textId="3533EE50" w:rsidR="00B07BA0" w:rsidRPr="0081154A" w:rsidRDefault="006345CE" w:rsidP="00C027A8">
      <w:pPr>
        <w:rPr>
          <w:lang w:val="en-AU" w:eastAsia="ja-JP"/>
        </w:rPr>
      </w:pPr>
      <w:r>
        <w:rPr>
          <w:lang w:val="en-GB" w:eastAsia="zh-TW"/>
        </w:rPr>
        <w:t>Ideally,</w:t>
      </w:r>
      <w:r w:rsidR="00D93972">
        <w:rPr>
          <w:lang w:val="en-GB" w:eastAsia="zh-TW"/>
        </w:rPr>
        <w:t xml:space="preserve"> developers would pay for their full share of developer created growth costs, and ratepayers would pay for their full share of </w:t>
      </w:r>
      <w:r w:rsidR="001C452D">
        <w:rPr>
          <w:lang w:val="en-GB" w:eastAsia="zh-TW"/>
        </w:rPr>
        <w:t xml:space="preserve">use of council infrastructure and services. </w:t>
      </w:r>
      <w:r w:rsidR="00241A9F">
        <w:rPr>
          <w:lang w:val="en-GB" w:eastAsia="zh-TW"/>
        </w:rPr>
        <w:t>However</w:t>
      </w:r>
      <w:r w:rsidR="00007EF3">
        <w:rPr>
          <w:lang w:val="en-GB" w:eastAsia="zh-TW"/>
        </w:rPr>
        <w:t>,</w:t>
      </w:r>
      <w:r w:rsidR="00241A9F">
        <w:rPr>
          <w:lang w:val="en-GB" w:eastAsia="zh-TW"/>
        </w:rPr>
        <w:t xml:space="preserve"> there are inevitable politics underpinning these systems and the associated charg</w:t>
      </w:r>
      <w:r>
        <w:rPr>
          <w:lang w:val="en-GB" w:eastAsia="zh-TW"/>
        </w:rPr>
        <w:t>e</w:t>
      </w:r>
      <w:r w:rsidR="00BC430D">
        <w:rPr>
          <w:lang w:val="en-GB" w:eastAsia="zh-TW"/>
        </w:rPr>
        <w:t xml:space="preserve">s. In some cases </w:t>
      </w:r>
      <w:r w:rsidR="00CB25B3">
        <w:rPr>
          <w:lang w:val="en-GB" w:eastAsia="zh-TW"/>
        </w:rPr>
        <w:t>this may lead to over</w:t>
      </w:r>
      <w:r w:rsidR="00695D28">
        <w:rPr>
          <w:lang w:val="en-GB" w:eastAsia="zh-TW"/>
        </w:rPr>
        <w:t>charging, where</w:t>
      </w:r>
      <w:r w:rsidR="00B07BA0">
        <w:rPr>
          <w:lang w:val="en-GB" w:eastAsia="zh-TW"/>
        </w:rPr>
        <w:t>by</w:t>
      </w:r>
      <w:r w:rsidR="00695D28">
        <w:rPr>
          <w:lang w:val="en-GB" w:eastAsia="zh-TW"/>
        </w:rPr>
        <w:t xml:space="preserve"> cou</w:t>
      </w:r>
      <w:r w:rsidR="00B07BA0">
        <w:rPr>
          <w:lang w:val="en-GB" w:eastAsia="zh-TW"/>
        </w:rPr>
        <w:t>ncils</w:t>
      </w:r>
      <w:r w:rsidR="00695D28">
        <w:rPr>
          <w:lang w:val="en-GB" w:eastAsia="zh-TW"/>
        </w:rPr>
        <w:t xml:space="preserve"> prefer</w:t>
      </w:r>
      <w:r w:rsidR="00B07BA0">
        <w:rPr>
          <w:lang w:val="en-GB" w:eastAsia="zh-TW"/>
        </w:rPr>
        <w:t xml:space="preserve"> to</w:t>
      </w:r>
      <w:r w:rsidR="00695D28">
        <w:rPr>
          <w:lang w:val="en-GB" w:eastAsia="zh-TW"/>
        </w:rPr>
        <w:t xml:space="preserve"> </w:t>
      </w:r>
      <w:r w:rsidR="00B07BA0">
        <w:rPr>
          <w:lang w:val="en-GB" w:eastAsia="zh-TW"/>
        </w:rPr>
        <w:t>recover</w:t>
      </w:r>
      <w:r w:rsidR="00695D28">
        <w:rPr>
          <w:lang w:val="en-GB" w:eastAsia="zh-TW"/>
        </w:rPr>
        <w:t xml:space="preserve"> costs through D</w:t>
      </w:r>
      <w:r w:rsidR="00A61BBF">
        <w:rPr>
          <w:lang w:val="en-GB" w:eastAsia="zh-TW"/>
        </w:rPr>
        <w:t>C</w:t>
      </w:r>
      <w:r w:rsidR="00695D28">
        <w:rPr>
          <w:lang w:val="en-GB" w:eastAsia="zh-TW"/>
        </w:rPr>
        <w:t xml:space="preserve"> and FC charges </w:t>
      </w:r>
      <w:r w:rsidR="00B07BA0">
        <w:rPr>
          <w:lang w:val="en-GB" w:eastAsia="zh-TW"/>
        </w:rPr>
        <w:t xml:space="preserve">rather than charging ratepayers for infrastructure. </w:t>
      </w:r>
      <w:r w:rsidR="00A66FA8">
        <w:rPr>
          <w:lang w:val="en-GB" w:eastAsia="zh-TW"/>
        </w:rPr>
        <w:t xml:space="preserve">Political influence can also lead to undercharging, whereby </w:t>
      </w:r>
      <w:r w:rsidR="002427F0">
        <w:rPr>
          <w:lang w:val="en-GB" w:eastAsia="zh-TW"/>
        </w:rPr>
        <w:t xml:space="preserve">despite growing costs, </w:t>
      </w:r>
      <w:r w:rsidR="00A66FA8">
        <w:rPr>
          <w:lang w:val="en-GB" w:eastAsia="zh-TW"/>
        </w:rPr>
        <w:t>a council doesn't want to</w:t>
      </w:r>
      <w:r w:rsidR="002427F0">
        <w:rPr>
          <w:lang w:val="en-GB" w:eastAsia="zh-TW"/>
        </w:rPr>
        <w:t xml:space="preserve"> disrupt growth through increasing DC levels</w:t>
      </w:r>
      <w:r w:rsidR="00A66FA8">
        <w:rPr>
          <w:lang w:val="en-GB" w:eastAsia="zh-TW"/>
        </w:rPr>
        <w:t xml:space="preserve">. This can lead to underinvestment in infrastructure and ultimately reduced economic growth. </w:t>
      </w:r>
    </w:p>
    <w:p w14:paraId="11C8CDF0" w14:textId="3797E6E7" w:rsidR="0048488E" w:rsidRDefault="0048488E" w:rsidP="009D1D59">
      <w:pPr>
        <w:rPr>
          <w:lang w:val="en-GB" w:eastAsia="zh-CN"/>
        </w:rPr>
      </w:pPr>
    </w:p>
    <w:p w14:paraId="71E5A719" w14:textId="79E871BF" w:rsidR="0048488E" w:rsidRPr="00225FE0" w:rsidRDefault="0048488E" w:rsidP="0048488E">
      <w:pPr>
        <w:pStyle w:val="Heading1"/>
      </w:pPr>
      <w:bookmarkStart w:id="52" w:name="_Toc533411210"/>
      <w:r w:rsidRPr="001F07A2">
        <w:rPr>
          <w:sz w:val="28"/>
          <w:szCs w:val="28"/>
        </w:rPr>
        <w:lastRenderedPageBreak/>
        <w:drawing>
          <wp:anchor distT="0" distB="0" distL="114300" distR="114300" simplePos="0" relativeHeight="251765760" behindDoc="1" locked="0" layoutInCell="1" allowOverlap="1" wp14:anchorId="0F57D356" wp14:editId="77520CD1">
            <wp:simplePos x="0" y="0"/>
            <wp:positionH relativeFrom="column">
              <wp:posOffset>0</wp:posOffset>
            </wp:positionH>
            <wp:positionV relativeFrom="paragraph">
              <wp:posOffset>505672</wp:posOffset>
            </wp:positionV>
            <wp:extent cx="8779510" cy="45085"/>
            <wp:effectExtent l="0" t="0" r="889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779510" cy="45085"/>
                    </a:xfrm>
                    <a:prstGeom prst="rect">
                      <a:avLst/>
                    </a:prstGeom>
                  </pic:spPr>
                </pic:pic>
              </a:graphicData>
            </a:graphic>
            <wp14:sizeRelH relativeFrom="page">
              <wp14:pctWidth>0</wp14:pctWidth>
            </wp14:sizeRelH>
            <wp14:sizeRelV relativeFrom="page">
              <wp14:pctHeight>0</wp14:pctHeight>
            </wp14:sizeRelV>
          </wp:anchor>
        </w:drawing>
      </w:r>
      <w:r w:rsidR="00543BDE">
        <w:t>Conclusions and recommendations</w:t>
      </w:r>
      <w:bookmarkEnd w:id="52"/>
    </w:p>
    <w:p w14:paraId="390B5F76" w14:textId="19E0A92C" w:rsidR="00414F54" w:rsidRDefault="00962CA5" w:rsidP="00C170E3">
      <w:pPr>
        <w:rPr>
          <w:lang w:val="en-GB" w:eastAsia="zh-TW"/>
        </w:rPr>
      </w:pPr>
      <w:r>
        <w:rPr>
          <w:lang w:val="en-GB" w:eastAsia="zh-TW"/>
        </w:rPr>
        <w:t>Since</w:t>
      </w:r>
      <w:r w:rsidR="00A476E4">
        <w:rPr>
          <w:lang w:val="en-GB" w:eastAsia="zh-TW"/>
        </w:rPr>
        <w:t xml:space="preserve"> </w:t>
      </w:r>
      <w:r w:rsidR="00572A2A">
        <w:rPr>
          <w:lang w:val="en-GB" w:eastAsia="zh-TW"/>
        </w:rPr>
        <w:t xml:space="preserve">being </w:t>
      </w:r>
      <w:r w:rsidR="00E74D88">
        <w:rPr>
          <w:lang w:val="en-GB" w:eastAsia="zh-TW"/>
        </w:rPr>
        <w:t>leg</w:t>
      </w:r>
      <w:r w:rsidR="00323844">
        <w:rPr>
          <w:lang w:val="en-GB" w:eastAsia="zh-TW"/>
        </w:rPr>
        <w:t>islated</w:t>
      </w:r>
      <w:r w:rsidR="00572A2A">
        <w:rPr>
          <w:lang w:val="en-GB" w:eastAsia="zh-TW"/>
        </w:rPr>
        <w:t xml:space="preserve"> for in 2002</w:t>
      </w:r>
      <w:r w:rsidR="00E74D88">
        <w:rPr>
          <w:lang w:val="en-GB" w:eastAsia="zh-TW"/>
        </w:rPr>
        <w:t xml:space="preserve">, </w:t>
      </w:r>
      <w:r w:rsidR="00CA6512">
        <w:rPr>
          <w:lang w:val="en-GB" w:eastAsia="zh-TW"/>
        </w:rPr>
        <w:t>DCs</w:t>
      </w:r>
      <w:r w:rsidR="00E74D88">
        <w:rPr>
          <w:lang w:val="en-GB" w:eastAsia="zh-TW"/>
        </w:rPr>
        <w:t xml:space="preserve"> have</w:t>
      </w:r>
      <w:r>
        <w:rPr>
          <w:lang w:val="en-GB" w:eastAsia="zh-TW"/>
        </w:rPr>
        <w:t xml:space="preserve"> become an increasingly common tool for local councils to</w:t>
      </w:r>
      <w:r w:rsidR="00572A2A">
        <w:rPr>
          <w:lang w:val="en-GB" w:eastAsia="zh-TW"/>
        </w:rPr>
        <w:t xml:space="preserve"> use to</w:t>
      </w:r>
      <w:r>
        <w:rPr>
          <w:lang w:val="en-GB" w:eastAsia="zh-TW"/>
        </w:rPr>
        <w:t xml:space="preserve"> </w:t>
      </w:r>
      <w:r w:rsidR="00BC2AC0">
        <w:rPr>
          <w:lang w:val="en-GB" w:eastAsia="zh-TW"/>
        </w:rPr>
        <w:t xml:space="preserve">pay for growth, with </w:t>
      </w:r>
      <w:r w:rsidR="00323844">
        <w:rPr>
          <w:lang w:val="en-GB" w:eastAsia="zh-TW"/>
        </w:rPr>
        <w:t>D</w:t>
      </w:r>
      <w:r w:rsidR="00640E6E">
        <w:rPr>
          <w:lang w:val="en-GB" w:eastAsia="zh-TW"/>
        </w:rPr>
        <w:t>C</w:t>
      </w:r>
      <w:r w:rsidR="00323844">
        <w:rPr>
          <w:lang w:val="en-GB" w:eastAsia="zh-TW"/>
        </w:rPr>
        <w:t xml:space="preserve"> and FC income for local councils </w:t>
      </w:r>
      <w:r w:rsidR="00BC2AC0">
        <w:rPr>
          <w:lang w:val="en-GB" w:eastAsia="zh-TW"/>
        </w:rPr>
        <w:t>increasing from</w:t>
      </w:r>
      <w:r w:rsidR="00323844">
        <w:rPr>
          <w:lang w:val="en-GB" w:eastAsia="zh-TW"/>
        </w:rPr>
        <w:t xml:space="preserve"> $88 million in 2003 to $381 million in 2017. </w:t>
      </w:r>
      <w:r w:rsidR="00BC2AC0">
        <w:rPr>
          <w:lang w:val="en-GB" w:eastAsia="zh-TW"/>
        </w:rPr>
        <w:t>As DC</w:t>
      </w:r>
      <w:r w:rsidR="002427F0">
        <w:rPr>
          <w:lang w:val="en-GB" w:eastAsia="zh-TW"/>
        </w:rPr>
        <w:t xml:space="preserve"> use increases</w:t>
      </w:r>
      <w:r w:rsidR="00BC2AC0">
        <w:rPr>
          <w:lang w:val="en-GB" w:eastAsia="zh-TW"/>
        </w:rPr>
        <w:t xml:space="preserve">, </w:t>
      </w:r>
      <w:r w:rsidR="00CE7931">
        <w:rPr>
          <w:lang w:val="en-GB" w:eastAsia="zh-TW"/>
        </w:rPr>
        <w:t xml:space="preserve">it becomes </w:t>
      </w:r>
      <w:r w:rsidR="002427F0">
        <w:rPr>
          <w:lang w:val="en-GB" w:eastAsia="zh-TW"/>
        </w:rPr>
        <w:t>more and more</w:t>
      </w:r>
      <w:r w:rsidR="00CE7931">
        <w:rPr>
          <w:lang w:val="en-GB" w:eastAsia="zh-TW"/>
        </w:rPr>
        <w:t xml:space="preserve"> pertinent to</w:t>
      </w:r>
      <w:r w:rsidR="00BC2AC0">
        <w:rPr>
          <w:lang w:val="en-GB" w:eastAsia="zh-TW"/>
        </w:rPr>
        <w:t xml:space="preserve"> </w:t>
      </w:r>
      <w:r w:rsidR="00CE7931">
        <w:rPr>
          <w:lang w:val="en-GB" w:eastAsia="zh-TW"/>
        </w:rPr>
        <w:t>ensur</w:t>
      </w:r>
      <w:r w:rsidR="0024607C">
        <w:rPr>
          <w:lang w:val="en-GB" w:eastAsia="zh-TW"/>
        </w:rPr>
        <w:t>e</w:t>
      </w:r>
      <w:r w:rsidR="00CE7931">
        <w:rPr>
          <w:lang w:val="en-GB" w:eastAsia="zh-TW"/>
        </w:rPr>
        <w:t xml:space="preserve"> that this tool is used appropriately. </w:t>
      </w:r>
    </w:p>
    <w:p w14:paraId="1685D5AF" w14:textId="322DB6F8" w:rsidR="00CE7931" w:rsidRDefault="00CE7931" w:rsidP="00C170E3">
      <w:pPr>
        <w:rPr>
          <w:lang w:val="en-GB" w:eastAsia="zh-TW"/>
        </w:rPr>
      </w:pPr>
      <w:r>
        <w:rPr>
          <w:lang w:val="en-GB" w:eastAsia="zh-TW"/>
        </w:rPr>
        <w:t>In 2012</w:t>
      </w:r>
      <w:r w:rsidR="003133F8">
        <w:rPr>
          <w:lang w:val="en-GB" w:eastAsia="zh-TW"/>
        </w:rPr>
        <w:t>, the Productivity Commiss</w:t>
      </w:r>
      <w:r w:rsidR="00572A2A">
        <w:rPr>
          <w:lang w:val="en-GB" w:eastAsia="zh-TW"/>
        </w:rPr>
        <w:t>ion expressed</w:t>
      </w:r>
      <w:r w:rsidR="003D6E0F">
        <w:rPr>
          <w:lang w:val="en-GB" w:eastAsia="zh-TW"/>
        </w:rPr>
        <w:t xml:space="preserve"> concerns with the DC system, identifying a number of issues including inappropriate use of DCs on unrelated infrastructure, variation in charging methods, lack of transparency and inability for developers to challenge DC charges.</w:t>
      </w:r>
      <w:r w:rsidR="008D6B2C">
        <w:rPr>
          <w:lang w:val="en-GB" w:eastAsia="zh-TW"/>
        </w:rPr>
        <w:t xml:space="preserve"> This sparked the 2013 DIA </w:t>
      </w:r>
      <w:r w:rsidR="001E3A2A">
        <w:rPr>
          <w:lang w:val="en-GB" w:eastAsia="zh-TW"/>
        </w:rPr>
        <w:t>r</w:t>
      </w:r>
      <w:r w:rsidR="008D6B2C">
        <w:rPr>
          <w:lang w:val="en-GB" w:eastAsia="zh-TW"/>
        </w:rPr>
        <w:t xml:space="preserve">eview, later resulting in a number of changes being made to the DC system, </w:t>
      </w:r>
      <w:r w:rsidR="00572A2A">
        <w:rPr>
          <w:lang w:val="en-GB" w:eastAsia="zh-TW"/>
        </w:rPr>
        <w:t xml:space="preserve">as </w:t>
      </w:r>
      <w:r w:rsidR="008D6B2C">
        <w:rPr>
          <w:lang w:val="en-GB" w:eastAsia="zh-TW"/>
        </w:rPr>
        <w:t>legislated in</w:t>
      </w:r>
      <w:r w:rsidR="00627B3B">
        <w:rPr>
          <w:lang w:val="en-GB" w:eastAsia="zh-TW"/>
        </w:rPr>
        <w:t xml:space="preserve"> the 2014 LGA</w:t>
      </w:r>
      <w:r w:rsidR="001E3A2A">
        <w:rPr>
          <w:lang w:val="en-GB" w:eastAsia="zh-TW"/>
        </w:rPr>
        <w:t xml:space="preserve"> Amendment Act</w:t>
      </w:r>
      <w:r w:rsidR="008D6B2C">
        <w:rPr>
          <w:lang w:val="en-GB" w:eastAsia="zh-TW"/>
        </w:rPr>
        <w:t xml:space="preserve">. These changes included the </w:t>
      </w:r>
      <w:r w:rsidR="001E3A2A">
        <w:rPr>
          <w:lang w:val="en-GB" w:eastAsia="zh-TW"/>
        </w:rPr>
        <w:t>new</w:t>
      </w:r>
      <w:r w:rsidR="008D6B2C">
        <w:rPr>
          <w:lang w:val="en-GB" w:eastAsia="zh-TW"/>
        </w:rPr>
        <w:t xml:space="preserve"> </w:t>
      </w:r>
      <w:r w:rsidR="001E3A2A">
        <w:rPr>
          <w:lang w:val="en-GB" w:eastAsia="zh-TW"/>
        </w:rPr>
        <w:t xml:space="preserve">DC </w:t>
      </w:r>
      <w:r w:rsidR="008D6B2C">
        <w:rPr>
          <w:lang w:val="en-GB" w:eastAsia="zh-TW"/>
        </w:rPr>
        <w:t>purpose and principles, a more focused definit</w:t>
      </w:r>
      <w:r w:rsidR="00572A2A">
        <w:rPr>
          <w:lang w:val="en-GB" w:eastAsia="zh-TW"/>
        </w:rPr>
        <w:t>ion of community infrastructure and</w:t>
      </w:r>
      <w:r w:rsidR="008D6B2C">
        <w:rPr>
          <w:lang w:val="en-GB" w:eastAsia="zh-TW"/>
        </w:rPr>
        <w:t xml:space="preserve"> a new objection proces</w:t>
      </w:r>
      <w:r w:rsidR="00572A2A">
        <w:rPr>
          <w:lang w:val="en-GB" w:eastAsia="zh-TW"/>
        </w:rPr>
        <w:t xml:space="preserve">s </w:t>
      </w:r>
      <w:r w:rsidR="001E3A2A">
        <w:rPr>
          <w:lang w:val="en-GB" w:eastAsia="zh-TW"/>
        </w:rPr>
        <w:t>(</w:t>
      </w:r>
      <w:r w:rsidR="00572A2A">
        <w:rPr>
          <w:lang w:val="en-GB" w:eastAsia="zh-TW"/>
        </w:rPr>
        <w:t>alongside other refinements to</w:t>
      </w:r>
      <w:r w:rsidR="008D6B2C">
        <w:rPr>
          <w:lang w:val="en-GB" w:eastAsia="zh-TW"/>
        </w:rPr>
        <w:t xml:space="preserve"> the system</w:t>
      </w:r>
      <w:r w:rsidR="001E3A2A">
        <w:rPr>
          <w:lang w:val="en-GB" w:eastAsia="zh-TW"/>
        </w:rPr>
        <w:t>).</w:t>
      </w:r>
    </w:p>
    <w:p w14:paraId="2CC4635E" w14:textId="5E1E686D" w:rsidR="00506CA6" w:rsidRDefault="00506CA6" w:rsidP="00C170E3">
      <w:pPr>
        <w:rPr>
          <w:lang w:val="en-GB" w:eastAsia="zh-TW"/>
        </w:rPr>
      </w:pPr>
      <w:r>
        <w:rPr>
          <w:lang w:val="en-GB" w:eastAsia="zh-TW"/>
        </w:rPr>
        <w:t xml:space="preserve">The 2014 amendments were </w:t>
      </w:r>
      <w:r w:rsidR="000B0D13">
        <w:rPr>
          <w:lang w:val="en-GB" w:eastAsia="zh-TW"/>
        </w:rPr>
        <w:t xml:space="preserve">largely </w:t>
      </w:r>
      <w:r>
        <w:rPr>
          <w:lang w:val="en-GB" w:eastAsia="zh-TW"/>
        </w:rPr>
        <w:t xml:space="preserve">welcomed by developers, including Foodstuffs. </w:t>
      </w:r>
      <w:r w:rsidR="00EC0ECF">
        <w:rPr>
          <w:lang w:val="en-GB" w:eastAsia="zh-TW"/>
        </w:rPr>
        <w:t>In particular t</w:t>
      </w:r>
      <w:r>
        <w:rPr>
          <w:lang w:val="en-GB" w:eastAsia="zh-TW"/>
        </w:rPr>
        <w:t xml:space="preserve">he addition </w:t>
      </w:r>
      <w:r w:rsidR="00EC0ECF">
        <w:rPr>
          <w:lang w:val="en-GB" w:eastAsia="zh-TW"/>
        </w:rPr>
        <w:t>of the DC purpose and principles gave local councils more clarity on the intended use of DC charges. What Foodstuffs has found</w:t>
      </w:r>
      <w:r w:rsidR="00572A2A">
        <w:rPr>
          <w:lang w:val="en-GB" w:eastAsia="zh-TW"/>
        </w:rPr>
        <w:t>,</w:t>
      </w:r>
      <w:r w:rsidR="00EC0ECF">
        <w:rPr>
          <w:lang w:val="en-GB" w:eastAsia="zh-TW"/>
        </w:rPr>
        <w:t xml:space="preserve"> however</w:t>
      </w:r>
      <w:r w:rsidR="00572A2A">
        <w:rPr>
          <w:lang w:val="en-GB" w:eastAsia="zh-TW"/>
        </w:rPr>
        <w:t>,</w:t>
      </w:r>
      <w:r w:rsidR="00EC0ECF">
        <w:rPr>
          <w:lang w:val="en-GB" w:eastAsia="zh-TW"/>
        </w:rPr>
        <w:t xml:space="preserve"> is that while the legislation is solid, in practice the way local counci</w:t>
      </w:r>
      <w:r w:rsidR="00572A2A">
        <w:rPr>
          <w:lang w:val="en-GB" w:eastAsia="zh-TW"/>
        </w:rPr>
        <w:t>ls are using DC charges is not</w:t>
      </w:r>
      <w:r w:rsidR="00EC0ECF">
        <w:rPr>
          <w:lang w:val="en-GB" w:eastAsia="zh-TW"/>
        </w:rPr>
        <w:t xml:space="preserve"> </w:t>
      </w:r>
      <w:r w:rsidR="00E25138">
        <w:rPr>
          <w:lang w:val="en-GB" w:eastAsia="zh-TW"/>
        </w:rPr>
        <w:t xml:space="preserve">always </w:t>
      </w:r>
      <w:r w:rsidR="00572A2A">
        <w:rPr>
          <w:lang w:val="en-GB" w:eastAsia="zh-TW"/>
        </w:rPr>
        <w:t>commensurate with</w:t>
      </w:r>
      <w:r w:rsidR="00EC0ECF">
        <w:rPr>
          <w:lang w:val="en-GB" w:eastAsia="zh-TW"/>
        </w:rPr>
        <w:t xml:space="preserve"> the </w:t>
      </w:r>
      <w:r w:rsidR="00E25138">
        <w:rPr>
          <w:lang w:val="en-GB" w:eastAsia="zh-TW"/>
        </w:rPr>
        <w:t xml:space="preserve">legislated </w:t>
      </w:r>
      <w:r w:rsidR="00EC0ECF">
        <w:rPr>
          <w:lang w:val="en-GB" w:eastAsia="zh-TW"/>
        </w:rPr>
        <w:t>principles</w:t>
      </w:r>
      <w:r w:rsidR="00E25138">
        <w:rPr>
          <w:lang w:val="en-GB" w:eastAsia="zh-TW"/>
        </w:rPr>
        <w:t xml:space="preserve">. As a result, a number of the issues that the principles were </w:t>
      </w:r>
      <w:r w:rsidR="0082174A">
        <w:rPr>
          <w:lang w:val="en-GB" w:eastAsia="zh-TW"/>
        </w:rPr>
        <w:t>intended</w:t>
      </w:r>
      <w:r w:rsidR="00E25138">
        <w:rPr>
          <w:lang w:val="en-GB" w:eastAsia="zh-TW"/>
        </w:rPr>
        <w:t xml:space="preserve"> to address still exist within the system. </w:t>
      </w:r>
    </w:p>
    <w:p w14:paraId="4B4B1238" w14:textId="21B7F9BA" w:rsidR="000B0D13" w:rsidRDefault="00083DFA" w:rsidP="000B0D13">
      <w:pPr>
        <w:rPr>
          <w:lang w:val="en-GB" w:eastAsia="zh-TW"/>
        </w:rPr>
      </w:pPr>
      <w:r>
        <w:rPr>
          <w:lang w:val="en-GB" w:eastAsia="zh-TW"/>
        </w:rPr>
        <w:t xml:space="preserve">Section 4 of this report has </w:t>
      </w:r>
      <w:r w:rsidR="0082174A">
        <w:rPr>
          <w:lang w:val="en-GB" w:eastAsia="zh-TW"/>
        </w:rPr>
        <w:t>highlighted</w:t>
      </w:r>
      <w:r>
        <w:rPr>
          <w:lang w:val="en-GB" w:eastAsia="zh-TW"/>
        </w:rPr>
        <w:t xml:space="preserve"> </w:t>
      </w:r>
      <w:r w:rsidR="00E0357F">
        <w:rPr>
          <w:lang w:val="en-GB" w:eastAsia="zh-TW"/>
        </w:rPr>
        <w:t>a number of issues that we have found to currently exist within the DC system. These includ</w:t>
      </w:r>
      <w:r w:rsidR="001264C2">
        <w:rPr>
          <w:lang w:val="en-GB" w:eastAsia="zh-TW"/>
        </w:rPr>
        <w:t>e</w:t>
      </w:r>
      <w:r w:rsidR="000B0D13">
        <w:rPr>
          <w:lang w:val="en-GB" w:eastAsia="zh-TW"/>
        </w:rPr>
        <w:t>:</w:t>
      </w:r>
    </w:p>
    <w:p w14:paraId="2E37A986" w14:textId="77777777" w:rsidR="000B0D13" w:rsidRPr="001155F6" w:rsidRDefault="000B0D13" w:rsidP="000B0D13">
      <w:pPr>
        <w:pStyle w:val="ListParagraph"/>
        <w:numPr>
          <w:ilvl w:val="0"/>
          <w:numId w:val="21"/>
        </w:numPr>
        <w:spacing w:after="120" w:line="276" w:lineRule="auto"/>
        <w:ind w:left="714" w:hanging="357"/>
        <w:contextualSpacing w:val="0"/>
        <w:rPr>
          <w:lang w:val="en-GB" w:eastAsia="zh-TW"/>
        </w:rPr>
      </w:pPr>
      <w:r w:rsidRPr="001155F6">
        <w:rPr>
          <w:lang w:val="en-GB" w:eastAsia="zh-TW"/>
        </w:rPr>
        <w:t>disproportionate charging;</w:t>
      </w:r>
    </w:p>
    <w:p w14:paraId="286F54B8" w14:textId="77777777" w:rsidR="000B0D13" w:rsidRPr="001155F6" w:rsidRDefault="000B0D13" w:rsidP="000B0D13">
      <w:pPr>
        <w:pStyle w:val="ListParagraph"/>
        <w:numPr>
          <w:ilvl w:val="0"/>
          <w:numId w:val="21"/>
        </w:numPr>
        <w:spacing w:after="120" w:line="276" w:lineRule="auto"/>
        <w:ind w:left="714" w:hanging="357"/>
        <w:contextualSpacing w:val="0"/>
        <w:rPr>
          <w:lang w:val="en-GB" w:eastAsia="zh-TW"/>
        </w:rPr>
      </w:pPr>
      <w:r w:rsidRPr="001155F6">
        <w:rPr>
          <w:lang w:val="en-GB" w:eastAsia="zh-TW"/>
        </w:rPr>
        <w:t>variation in charging;</w:t>
      </w:r>
    </w:p>
    <w:p w14:paraId="5211E4EB" w14:textId="77777777" w:rsidR="000B0D13" w:rsidRPr="001155F6" w:rsidRDefault="000B0D13" w:rsidP="000B0D13">
      <w:pPr>
        <w:pStyle w:val="ListParagraph"/>
        <w:numPr>
          <w:ilvl w:val="0"/>
          <w:numId w:val="21"/>
        </w:numPr>
        <w:spacing w:after="120" w:line="276" w:lineRule="auto"/>
        <w:ind w:left="714" w:hanging="357"/>
        <w:contextualSpacing w:val="0"/>
        <w:rPr>
          <w:lang w:val="en-GB" w:eastAsia="zh-TW"/>
        </w:rPr>
      </w:pPr>
      <w:r w:rsidRPr="001155F6">
        <w:rPr>
          <w:lang w:val="en-GB" w:eastAsia="zh-TW"/>
        </w:rPr>
        <w:t>timing of charging;</w:t>
      </w:r>
    </w:p>
    <w:p w14:paraId="1387EF8E" w14:textId="77777777" w:rsidR="000B0D13" w:rsidRPr="001155F6" w:rsidRDefault="000B0D13" w:rsidP="000B0D13">
      <w:pPr>
        <w:pStyle w:val="ListParagraph"/>
        <w:numPr>
          <w:ilvl w:val="0"/>
          <w:numId w:val="21"/>
        </w:numPr>
        <w:spacing w:after="120" w:line="276" w:lineRule="auto"/>
        <w:ind w:left="714" w:hanging="357"/>
        <w:contextualSpacing w:val="0"/>
        <w:rPr>
          <w:lang w:val="en-GB" w:eastAsia="zh-TW"/>
        </w:rPr>
      </w:pPr>
      <w:r w:rsidRPr="001155F6">
        <w:rPr>
          <w:lang w:val="en-GB" w:eastAsia="zh-TW"/>
        </w:rPr>
        <w:t xml:space="preserve">lack of transparency; and </w:t>
      </w:r>
    </w:p>
    <w:p w14:paraId="3EBBCB8B" w14:textId="59B5D8A8" w:rsidR="00E0357F" w:rsidRPr="000B0D13" w:rsidRDefault="000B0D13" w:rsidP="000B0D13">
      <w:pPr>
        <w:pStyle w:val="ListParagraph"/>
        <w:numPr>
          <w:ilvl w:val="0"/>
          <w:numId w:val="21"/>
        </w:numPr>
        <w:spacing w:after="240" w:line="276" w:lineRule="auto"/>
        <w:ind w:left="714" w:hanging="357"/>
        <w:rPr>
          <w:lang w:val="en-GB" w:eastAsia="zh-TW"/>
        </w:rPr>
      </w:pPr>
      <w:r w:rsidRPr="001155F6">
        <w:rPr>
          <w:lang w:val="en-GB" w:eastAsia="zh-TW"/>
        </w:rPr>
        <w:t xml:space="preserve">system reliability. </w:t>
      </w:r>
    </w:p>
    <w:p w14:paraId="4E3FD644" w14:textId="39FAA7CA" w:rsidR="00C006AD" w:rsidRDefault="00775275" w:rsidP="00C170E3">
      <w:pPr>
        <w:rPr>
          <w:lang w:val="en-GB" w:eastAsia="zh-TW"/>
        </w:rPr>
      </w:pPr>
      <w:r>
        <w:rPr>
          <w:lang w:val="en-GB" w:eastAsia="zh-TW"/>
        </w:rPr>
        <w:t xml:space="preserve">A number of the issues we have identified in this review </w:t>
      </w:r>
      <w:r w:rsidR="00CD6F89">
        <w:rPr>
          <w:lang w:val="en-GB" w:eastAsia="zh-TW"/>
        </w:rPr>
        <w:t>not only</w:t>
      </w:r>
      <w:r w:rsidR="00C006AD">
        <w:rPr>
          <w:lang w:val="en-GB" w:eastAsia="zh-TW"/>
        </w:rPr>
        <w:t xml:space="preserve"> appear to have</w:t>
      </w:r>
      <w:r w:rsidR="009D275E">
        <w:rPr>
          <w:lang w:val="en-GB" w:eastAsia="zh-TW"/>
        </w:rPr>
        <w:t xml:space="preserve"> existed since DCs were first introduced</w:t>
      </w:r>
      <w:r w:rsidR="00CD6F89">
        <w:rPr>
          <w:lang w:val="en-GB" w:eastAsia="zh-TW"/>
        </w:rPr>
        <w:t xml:space="preserve"> in </w:t>
      </w:r>
      <w:proofErr w:type="gramStart"/>
      <w:r w:rsidR="00CD6F89">
        <w:rPr>
          <w:lang w:val="en-GB" w:eastAsia="zh-TW"/>
        </w:rPr>
        <w:t>2002</w:t>
      </w:r>
      <w:r w:rsidR="0082174A">
        <w:rPr>
          <w:lang w:val="en-GB" w:eastAsia="zh-TW"/>
        </w:rPr>
        <w:t xml:space="preserve">, </w:t>
      </w:r>
      <w:r w:rsidR="009D275E">
        <w:rPr>
          <w:lang w:val="en-GB" w:eastAsia="zh-TW"/>
        </w:rPr>
        <w:t>but</w:t>
      </w:r>
      <w:proofErr w:type="gramEnd"/>
      <w:r w:rsidR="009D275E">
        <w:rPr>
          <w:lang w:val="en-GB" w:eastAsia="zh-TW"/>
        </w:rPr>
        <w:t xml:space="preserve"> are also reminiscent of some of the</w:t>
      </w:r>
      <w:r w:rsidR="00CD6F89">
        <w:rPr>
          <w:lang w:val="en-GB" w:eastAsia="zh-TW"/>
        </w:rPr>
        <w:t xml:space="preserve"> pre-DC issues </w:t>
      </w:r>
      <w:r w:rsidR="00054660">
        <w:rPr>
          <w:lang w:val="en-GB" w:eastAsia="zh-TW"/>
        </w:rPr>
        <w:t xml:space="preserve">with </w:t>
      </w:r>
      <w:r w:rsidR="004F15F3">
        <w:rPr>
          <w:lang w:val="en-GB" w:eastAsia="zh-TW"/>
        </w:rPr>
        <w:t xml:space="preserve">FC </w:t>
      </w:r>
      <w:r w:rsidR="00054660">
        <w:rPr>
          <w:lang w:val="en-GB" w:eastAsia="zh-TW"/>
        </w:rPr>
        <w:t>charg</w:t>
      </w:r>
      <w:r w:rsidR="004F15F3">
        <w:rPr>
          <w:lang w:val="en-GB" w:eastAsia="zh-TW"/>
        </w:rPr>
        <w:t>es</w:t>
      </w:r>
      <w:r w:rsidR="00054660">
        <w:rPr>
          <w:lang w:val="en-GB" w:eastAsia="zh-TW"/>
        </w:rPr>
        <w:t xml:space="preserve">. </w:t>
      </w:r>
      <w:r w:rsidR="00C24A44">
        <w:rPr>
          <w:lang w:val="en-GB" w:eastAsia="zh-TW"/>
        </w:rPr>
        <w:t>In particular, issues surrounding the lack of a clear charging methodology for local councils to employ</w:t>
      </w:r>
      <w:r w:rsidR="00007EF3">
        <w:rPr>
          <w:lang w:val="en-GB" w:eastAsia="zh-TW"/>
        </w:rPr>
        <w:t xml:space="preserve"> lead</w:t>
      </w:r>
      <w:r w:rsidR="00C24A44">
        <w:rPr>
          <w:lang w:val="en-GB" w:eastAsia="zh-TW"/>
        </w:rPr>
        <w:t xml:space="preserve"> to a wide variety of approaches across the country. Just as was the case with FCs in the past, </w:t>
      </w:r>
      <w:r w:rsidR="00FD7808">
        <w:rPr>
          <w:lang w:val="en-GB" w:eastAsia="zh-TW"/>
        </w:rPr>
        <w:t xml:space="preserve">this has </w:t>
      </w:r>
      <w:r w:rsidR="00956772">
        <w:rPr>
          <w:lang w:val="en-GB" w:eastAsia="zh-TW"/>
        </w:rPr>
        <w:t>led</w:t>
      </w:r>
      <w:r w:rsidR="00FD7808">
        <w:rPr>
          <w:lang w:val="en-GB" w:eastAsia="zh-TW"/>
        </w:rPr>
        <w:t xml:space="preserve"> </w:t>
      </w:r>
      <w:r w:rsidR="00C85825">
        <w:rPr>
          <w:lang w:val="en-GB" w:eastAsia="zh-TW"/>
        </w:rPr>
        <w:t xml:space="preserve">to inconsistencies in implementation and uncertainty and unpredictability for developers. </w:t>
      </w:r>
    </w:p>
    <w:p w14:paraId="3B1E505E" w14:textId="2A717D4F" w:rsidR="001C433D" w:rsidRDefault="0082174A" w:rsidP="00765AA3">
      <w:pPr>
        <w:rPr>
          <w:lang w:val="en-GB" w:eastAsia="zh-CN"/>
        </w:rPr>
      </w:pPr>
      <w:r>
        <w:rPr>
          <w:lang w:val="en-GB" w:eastAsia="zh-CN"/>
        </w:rPr>
        <w:t>Given the above</w:t>
      </w:r>
      <w:r w:rsidR="002C4451">
        <w:rPr>
          <w:lang w:val="en-GB" w:eastAsia="zh-CN"/>
        </w:rPr>
        <w:t xml:space="preserve">, we recommend that the Productivity Commission readdress the idea of </w:t>
      </w:r>
      <w:r w:rsidR="0032794D">
        <w:rPr>
          <w:lang w:val="en-GB" w:eastAsia="zh-CN"/>
        </w:rPr>
        <w:t xml:space="preserve">developing a new </w:t>
      </w:r>
      <w:r w:rsidR="0056149C">
        <w:rPr>
          <w:rFonts w:ascii="Open Sans Semibold" w:hAnsi="Open Sans Semibold" w:cs="Open Sans Semibold"/>
          <w:b/>
          <w:lang w:val="en-GB" w:eastAsia="zh-CN"/>
        </w:rPr>
        <w:t>‘B</w:t>
      </w:r>
      <w:r w:rsidR="002C4451" w:rsidRPr="00843108">
        <w:rPr>
          <w:rFonts w:ascii="Open Sans Semibold" w:hAnsi="Open Sans Semibold" w:cs="Open Sans Semibold"/>
          <w:b/>
          <w:lang w:val="en-GB" w:eastAsia="zh-CN"/>
        </w:rPr>
        <w:t>est</w:t>
      </w:r>
      <w:r w:rsidR="0056149C">
        <w:rPr>
          <w:rFonts w:ascii="Open Sans Semibold" w:hAnsi="Open Sans Semibold" w:cs="Open Sans Semibold"/>
          <w:b/>
          <w:lang w:val="en-GB" w:eastAsia="zh-CN"/>
        </w:rPr>
        <w:t>-P</w:t>
      </w:r>
      <w:r w:rsidR="002C4451" w:rsidRPr="00843108">
        <w:rPr>
          <w:rFonts w:ascii="Open Sans Semibold" w:hAnsi="Open Sans Semibold" w:cs="Open Sans Semibold"/>
          <w:b/>
          <w:lang w:val="en-GB" w:eastAsia="zh-CN"/>
        </w:rPr>
        <w:t xml:space="preserve">ractice </w:t>
      </w:r>
      <w:r w:rsidR="0056149C">
        <w:rPr>
          <w:rFonts w:ascii="Open Sans Semibold" w:hAnsi="Open Sans Semibold" w:cs="Open Sans Semibold"/>
          <w:b/>
          <w:lang w:val="en-GB" w:eastAsia="zh-CN"/>
        </w:rPr>
        <w:t>G</w:t>
      </w:r>
      <w:r w:rsidR="002C4451" w:rsidRPr="00843108">
        <w:rPr>
          <w:rFonts w:ascii="Open Sans Semibold" w:hAnsi="Open Sans Semibold" w:cs="Open Sans Semibold"/>
          <w:b/>
          <w:lang w:val="en-GB" w:eastAsia="zh-CN"/>
        </w:rPr>
        <w:t xml:space="preserve">uide to </w:t>
      </w:r>
      <w:r w:rsidR="0056149C">
        <w:rPr>
          <w:rFonts w:ascii="Open Sans Semibold" w:hAnsi="Open Sans Semibold" w:cs="Open Sans Semibold"/>
          <w:b/>
          <w:lang w:val="en-GB" w:eastAsia="zh-CN"/>
        </w:rPr>
        <w:t>D</w:t>
      </w:r>
      <w:r w:rsidR="002C4451" w:rsidRPr="00843108">
        <w:rPr>
          <w:rFonts w:ascii="Open Sans Semibold" w:hAnsi="Open Sans Semibold" w:cs="Open Sans Semibold"/>
          <w:b/>
          <w:lang w:val="en-GB" w:eastAsia="zh-CN"/>
        </w:rPr>
        <w:t xml:space="preserve">evelopment </w:t>
      </w:r>
      <w:r w:rsidR="0056149C">
        <w:rPr>
          <w:rFonts w:ascii="Open Sans Semibold" w:hAnsi="Open Sans Semibold" w:cs="Open Sans Semibold"/>
          <w:b/>
          <w:lang w:val="en-GB" w:eastAsia="zh-CN"/>
        </w:rPr>
        <w:t>C</w:t>
      </w:r>
      <w:r w:rsidR="002C4451" w:rsidRPr="00843108">
        <w:rPr>
          <w:rFonts w:ascii="Open Sans Semibold" w:hAnsi="Open Sans Semibold" w:cs="Open Sans Semibold"/>
          <w:b/>
          <w:lang w:val="en-GB" w:eastAsia="zh-CN"/>
        </w:rPr>
        <w:t>ontributions’</w:t>
      </w:r>
      <w:r w:rsidR="002C4451">
        <w:rPr>
          <w:lang w:val="en-GB" w:eastAsia="zh-CN"/>
        </w:rPr>
        <w:t>,</w:t>
      </w:r>
      <w:r w:rsidR="0032794D">
        <w:rPr>
          <w:lang w:val="en-GB" w:eastAsia="zh-CN"/>
        </w:rPr>
        <w:t xml:space="preserve"> for local councils to follow. This process would involve </w:t>
      </w:r>
      <w:r w:rsidR="002C4451">
        <w:rPr>
          <w:lang w:val="en-GB" w:eastAsia="zh-CN"/>
        </w:rPr>
        <w:t>consider</w:t>
      </w:r>
      <w:r w:rsidR="00AE45A5">
        <w:rPr>
          <w:lang w:val="en-GB" w:eastAsia="zh-CN"/>
        </w:rPr>
        <w:t xml:space="preserve">ation of the most effective means of </w:t>
      </w:r>
      <w:r w:rsidR="00843108">
        <w:rPr>
          <w:lang w:val="en-GB" w:eastAsia="zh-CN"/>
        </w:rPr>
        <w:t xml:space="preserve">implementation and education </w:t>
      </w:r>
      <w:r w:rsidR="0056149C">
        <w:rPr>
          <w:lang w:val="en-GB" w:eastAsia="zh-CN"/>
        </w:rPr>
        <w:t>on moving towards a best-practice system.</w:t>
      </w:r>
      <w:r w:rsidR="00843108">
        <w:rPr>
          <w:lang w:val="en-GB" w:eastAsia="zh-CN"/>
        </w:rPr>
        <w:t xml:space="preserve"> </w:t>
      </w:r>
    </w:p>
    <w:p w14:paraId="5EE10A67" w14:textId="77777777" w:rsidR="00C16AA9" w:rsidRDefault="00C16AA9" w:rsidP="00765AA3">
      <w:pPr>
        <w:rPr>
          <w:lang w:val="en-GB" w:eastAsia="zh-CN"/>
        </w:rPr>
      </w:pPr>
    </w:p>
    <w:p w14:paraId="60D01885" w14:textId="3C3F5CB5" w:rsidR="00F84E1B" w:rsidRDefault="00F84E1B" w:rsidP="008E763D">
      <w:pPr>
        <w:spacing w:after="240"/>
        <w:rPr>
          <w:lang w:val="en-GB" w:eastAsia="zh-TW"/>
        </w:rPr>
      </w:pPr>
      <w:r>
        <w:rPr>
          <w:lang w:val="en-GB" w:eastAsia="zh-TW"/>
        </w:rPr>
        <w:t>An updated best-practice guideline was one of the recommendations made by the Productivity Commission in its 2012 Enquiry. It recommended the following:</w:t>
      </w:r>
    </w:p>
    <w:p w14:paraId="5BD73328" w14:textId="7FF91212" w:rsidR="00490709" w:rsidRPr="00BB78D2" w:rsidRDefault="00490709" w:rsidP="008E763D">
      <w:pPr>
        <w:pStyle w:val="ListParagraph"/>
        <w:numPr>
          <w:ilvl w:val="0"/>
          <w:numId w:val="29"/>
        </w:numPr>
        <w:spacing w:after="120" w:line="276" w:lineRule="auto"/>
        <w:ind w:left="714" w:hanging="357"/>
        <w:contextualSpacing w:val="0"/>
        <w:rPr>
          <w:lang w:val="en-GB" w:eastAsia="zh-TW"/>
        </w:rPr>
      </w:pPr>
      <w:r>
        <w:rPr>
          <w:lang w:val="en-GB" w:eastAsia="zh-TW"/>
        </w:rPr>
        <w:t>t</w:t>
      </w:r>
      <w:r w:rsidRPr="00490709">
        <w:rPr>
          <w:lang w:val="en-GB" w:eastAsia="zh-TW"/>
        </w:rPr>
        <w:t xml:space="preserve">he Government should </w:t>
      </w:r>
      <w:r w:rsidR="0056149C">
        <w:rPr>
          <w:lang w:val="en-GB" w:eastAsia="zh-TW"/>
        </w:rPr>
        <w:t xml:space="preserve">create </w:t>
      </w:r>
      <w:r w:rsidRPr="00490709">
        <w:rPr>
          <w:lang w:val="en-GB" w:eastAsia="zh-TW"/>
        </w:rPr>
        <w:t>update</w:t>
      </w:r>
      <w:r w:rsidR="0056149C">
        <w:rPr>
          <w:lang w:val="en-GB" w:eastAsia="zh-TW"/>
        </w:rPr>
        <w:t>d</w:t>
      </w:r>
      <w:r w:rsidRPr="00490709">
        <w:rPr>
          <w:lang w:val="en-GB" w:eastAsia="zh-TW"/>
        </w:rPr>
        <w:t xml:space="preserve"> </w:t>
      </w:r>
      <w:r w:rsidR="00CB5DF9">
        <w:rPr>
          <w:lang w:val="en-GB" w:eastAsia="zh-TW"/>
        </w:rPr>
        <w:t>b</w:t>
      </w:r>
      <w:r w:rsidRPr="00490709">
        <w:rPr>
          <w:lang w:val="en-GB" w:eastAsia="zh-TW"/>
        </w:rPr>
        <w:t>est</w:t>
      </w:r>
      <w:r w:rsidR="00CB5DF9">
        <w:rPr>
          <w:lang w:val="en-GB" w:eastAsia="zh-TW"/>
        </w:rPr>
        <w:t>-p</w:t>
      </w:r>
      <w:r w:rsidRPr="00490709">
        <w:rPr>
          <w:lang w:val="en-GB" w:eastAsia="zh-TW"/>
        </w:rPr>
        <w:t>ractice</w:t>
      </w:r>
      <w:r w:rsidR="00CB5DF9">
        <w:rPr>
          <w:lang w:val="en-GB" w:eastAsia="zh-TW"/>
        </w:rPr>
        <w:t xml:space="preserve"> g</w:t>
      </w:r>
      <w:r w:rsidRPr="00490709">
        <w:rPr>
          <w:lang w:val="en-GB" w:eastAsia="zh-TW"/>
        </w:rPr>
        <w:t xml:space="preserve">uidelines </w:t>
      </w:r>
      <w:r w:rsidR="0056149C">
        <w:rPr>
          <w:lang w:val="en-GB" w:eastAsia="zh-TW"/>
        </w:rPr>
        <w:t xml:space="preserve">for </w:t>
      </w:r>
      <w:r w:rsidR="00CB5DF9">
        <w:rPr>
          <w:lang w:val="en-GB" w:eastAsia="zh-TW"/>
        </w:rPr>
        <w:t>d</w:t>
      </w:r>
      <w:r w:rsidRPr="00490709">
        <w:rPr>
          <w:lang w:val="en-GB" w:eastAsia="zh-TW"/>
        </w:rPr>
        <w:t xml:space="preserve">evelopment </w:t>
      </w:r>
      <w:r w:rsidR="00CB5DF9">
        <w:rPr>
          <w:lang w:val="en-GB" w:eastAsia="zh-TW"/>
        </w:rPr>
        <w:t>co</w:t>
      </w:r>
      <w:r w:rsidRPr="00490709">
        <w:rPr>
          <w:lang w:val="en-GB" w:eastAsia="zh-TW"/>
        </w:rPr>
        <w:t xml:space="preserve">ntributions </w:t>
      </w:r>
      <w:r w:rsidR="0056149C">
        <w:rPr>
          <w:lang w:val="en-GB" w:eastAsia="zh-TW"/>
        </w:rPr>
        <w:t>and</w:t>
      </w:r>
      <w:r w:rsidRPr="00490709">
        <w:rPr>
          <w:lang w:val="en-GB" w:eastAsia="zh-TW"/>
        </w:rPr>
        <w:t xml:space="preserve"> </w:t>
      </w:r>
      <w:r w:rsidR="00407334">
        <w:rPr>
          <w:lang w:val="en-GB" w:eastAsia="zh-TW"/>
        </w:rPr>
        <w:t>provide</w:t>
      </w:r>
      <w:r w:rsidRPr="00490709">
        <w:rPr>
          <w:lang w:val="en-GB" w:eastAsia="zh-TW"/>
        </w:rPr>
        <w:t xml:space="preserve"> training in their implementation. The process for developing the guidelines should be based on broad consultation, and cover matters such as when the contributions should be applied, how they should be calculated and how costs should be recovered</w:t>
      </w:r>
      <w:r w:rsidR="00471383">
        <w:rPr>
          <w:lang w:val="en-GB" w:eastAsia="zh-TW"/>
        </w:rPr>
        <w:t>;</w:t>
      </w:r>
      <w:r w:rsidR="0082174A">
        <w:rPr>
          <w:lang w:val="en-GB" w:eastAsia="zh-TW"/>
        </w:rPr>
        <w:t xml:space="preserve"> and</w:t>
      </w:r>
    </w:p>
    <w:p w14:paraId="31AAFC6A" w14:textId="0F308D58" w:rsidR="00490709" w:rsidRPr="00490709" w:rsidRDefault="0082174A" w:rsidP="008E763D">
      <w:pPr>
        <w:pStyle w:val="ListParagraph"/>
        <w:numPr>
          <w:ilvl w:val="0"/>
          <w:numId w:val="29"/>
        </w:numPr>
        <w:spacing w:after="80" w:line="276" w:lineRule="auto"/>
        <w:ind w:left="714" w:hanging="357"/>
        <w:contextualSpacing w:val="0"/>
        <w:rPr>
          <w:lang w:val="en-GB" w:eastAsia="zh-TW"/>
        </w:rPr>
      </w:pPr>
      <w:r>
        <w:rPr>
          <w:lang w:val="en-GB" w:eastAsia="zh-TW"/>
        </w:rPr>
        <w:lastRenderedPageBreak/>
        <w:t>c</w:t>
      </w:r>
      <w:r w:rsidR="00490709" w:rsidRPr="00490709">
        <w:rPr>
          <w:lang w:val="en-GB" w:eastAsia="zh-TW"/>
        </w:rPr>
        <w:t xml:space="preserve">onformity with the guidelines would be encouraged by: </w:t>
      </w:r>
    </w:p>
    <w:p w14:paraId="5ED8CAB4" w14:textId="23A1D540" w:rsidR="00490709" w:rsidRPr="00490709" w:rsidRDefault="00490709" w:rsidP="002B55F5">
      <w:pPr>
        <w:pStyle w:val="ListParagraph"/>
        <w:numPr>
          <w:ilvl w:val="1"/>
          <w:numId w:val="29"/>
        </w:numPr>
        <w:spacing w:line="276" w:lineRule="auto"/>
        <w:rPr>
          <w:lang w:val="en-GB" w:eastAsia="zh-TW"/>
        </w:rPr>
      </w:pPr>
      <w:r w:rsidRPr="00490709">
        <w:rPr>
          <w:lang w:val="en-GB" w:eastAsia="zh-TW"/>
        </w:rPr>
        <w:t xml:space="preserve">making it a legal requirement that councils have regard to the guidelines and with broad principles that would be legislated; </w:t>
      </w:r>
    </w:p>
    <w:p w14:paraId="3DE54D48" w14:textId="037C751B" w:rsidR="00490709" w:rsidRPr="00490709" w:rsidRDefault="00490709" w:rsidP="002B55F5">
      <w:pPr>
        <w:pStyle w:val="ListParagraph"/>
        <w:numPr>
          <w:ilvl w:val="1"/>
          <w:numId w:val="29"/>
        </w:numPr>
        <w:spacing w:line="276" w:lineRule="auto"/>
        <w:rPr>
          <w:lang w:val="en-GB" w:eastAsia="zh-TW"/>
        </w:rPr>
      </w:pPr>
      <w:r w:rsidRPr="00490709">
        <w:rPr>
          <w:lang w:val="en-GB" w:eastAsia="zh-TW"/>
        </w:rPr>
        <w:t xml:space="preserve">better reporting by councils of how they are complying with them; </w:t>
      </w:r>
      <w:r w:rsidR="0082174A">
        <w:rPr>
          <w:lang w:val="en-GB" w:eastAsia="zh-TW"/>
        </w:rPr>
        <w:t>and</w:t>
      </w:r>
    </w:p>
    <w:p w14:paraId="49E7A6A0" w14:textId="5C59DFF3" w:rsidR="00E67CAC" w:rsidRDefault="00490709" w:rsidP="008E763D">
      <w:pPr>
        <w:pStyle w:val="ListParagraph"/>
        <w:numPr>
          <w:ilvl w:val="1"/>
          <w:numId w:val="29"/>
        </w:numPr>
        <w:spacing w:after="240" w:line="276" w:lineRule="auto"/>
        <w:ind w:left="1434" w:hanging="357"/>
        <w:contextualSpacing w:val="0"/>
        <w:rPr>
          <w:lang w:val="en-GB" w:eastAsia="zh-TW"/>
        </w:rPr>
      </w:pPr>
      <w:r w:rsidRPr="00490709">
        <w:rPr>
          <w:lang w:val="en-GB" w:eastAsia="zh-TW"/>
        </w:rPr>
        <w:t>external assessment of performance to encourage continuous improvement.</w:t>
      </w:r>
      <w:r w:rsidRPr="003A223C">
        <w:rPr>
          <w:rStyle w:val="FootnoteReference"/>
          <w:sz w:val="20"/>
          <w:lang w:val="en-GB" w:eastAsia="zh-TW"/>
        </w:rPr>
        <w:footnoteReference w:id="18"/>
      </w:r>
    </w:p>
    <w:p w14:paraId="463F1E51" w14:textId="4CDB5733" w:rsidR="000232C3" w:rsidRDefault="009E7266" w:rsidP="00765AA3">
      <w:pPr>
        <w:rPr>
          <w:lang w:val="en-GB" w:eastAsia="zh-TW"/>
        </w:rPr>
      </w:pPr>
      <w:r>
        <w:rPr>
          <w:lang w:val="en-GB" w:eastAsia="zh-TW"/>
        </w:rPr>
        <w:t>These recommendations were not picked up in the Amendment to the LGA in 2014</w:t>
      </w:r>
      <w:r w:rsidR="001C68B5">
        <w:rPr>
          <w:lang w:val="en-GB" w:eastAsia="zh-TW"/>
        </w:rPr>
        <w:t xml:space="preserve"> (the DC principles were</w:t>
      </w:r>
      <w:r w:rsidR="00D84BEA">
        <w:rPr>
          <w:lang w:val="en-GB" w:eastAsia="zh-TW"/>
        </w:rPr>
        <w:t xml:space="preserve"> however</w:t>
      </w:r>
      <w:r w:rsidR="001C68B5">
        <w:rPr>
          <w:lang w:val="en-GB" w:eastAsia="zh-TW"/>
        </w:rPr>
        <w:t>)</w:t>
      </w:r>
      <w:r>
        <w:rPr>
          <w:lang w:val="en-GB" w:eastAsia="zh-TW"/>
        </w:rPr>
        <w:t xml:space="preserve">. </w:t>
      </w:r>
      <w:r w:rsidR="00021289">
        <w:rPr>
          <w:lang w:val="en-GB" w:eastAsia="zh-TW"/>
        </w:rPr>
        <w:t xml:space="preserve">Considering the issues with DCs </w:t>
      </w:r>
      <w:r w:rsidR="001471DF">
        <w:rPr>
          <w:lang w:val="en-GB" w:eastAsia="zh-TW"/>
        </w:rPr>
        <w:t>t</w:t>
      </w:r>
      <w:r w:rsidR="0082174A">
        <w:rPr>
          <w:lang w:val="en-GB" w:eastAsia="zh-TW"/>
        </w:rPr>
        <w:t>hat remain</w:t>
      </w:r>
      <w:r w:rsidR="001471DF">
        <w:rPr>
          <w:lang w:val="en-GB" w:eastAsia="zh-TW"/>
        </w:rPr>
        <w:t xml:space="preserve">, </w:t>
      </w:r>
      <w:r w:rsidR="008918D7">
        <w:rPr>
          <w:lang w:val="en-GB" w:eastAsia="zh-TW"/>
        </w:rPr>
        <w:t>we believe the system needs to be</w:t>
      </w:r>
      <w:r w:rsidR="00D84BEA">
        <w:rPr>
          <w:lang w:val="en-GB" w:eastAsia="zh-TW"/>
        </w:rPr>
        <w:t xml:space="preserve"> further</w:t>
      </w:r>
      <w:r w:rsidR="008918D7">
        <w:rPr>
          <w:lang w:val="en-GB" w:eastAsia="zh-TW"/>
        </w:rPr>
        <w:t xml:space="preserve"> reconsidered and that the </w:t>
      </w:r>
      <w:r w:rsidR="00D84BEA">
        <w:rPr>
          <w:lang w:val="en-GB" w:eastAsia="zh-TW"/>
        </w:rPr>
        <w:t>development</w:t>
      </w:r>
      <w:r w:rsidR="008918D7">
        <w:rPr>
          <w:lang w:val="en-GB" w:eastAsia="zh-TW"/>
        </w:rPr>
        <w:t xml:space="preserve"> of a robust </w:t>
      </w:r>
      <w:r w:rsidR="00CB5DF9">
        <w:rPr>
          <w:lang w:val="en-GB" w:eastAsia="zh-TW"/>
        </w:rPr>
        <w:t>b</w:t>
      </w:r>
      <w:r w:rsidR="008918D7">
        <w:rPr>
          <w:lang w:val="en-GB" w:eastAsia="zh-TW"/>
        </w:rPr>
        <w:t>est</w:t>
      </w:r>
      <w:r w:rsidR="00CB5DF9">
        <w:rPr>
          <w:lang w:val="en-GB" w:eastAsia="zh-TW"/>
        </w:rPr>
        <w:t>-p</w:t>
      </w:r>
      <w:r w:rsidR="008918D7">
        <w:rPr>
          <w:lang w:val="en-GB" w:eastAsia="zh-TW"/>
        </w:rPr>
        <w:t xml:space="preserve">ractice </w:t>
      </w:r>
      <w:r w:rsidR="00CB5DF9">
        <w:rPr>
          <w:lang w:val="en-GB" w:eastAsia="zh-TW"/>
        </w:rPr>
        <w:t>g</w:t>
      </w:r>
      <w:r w:rsidR="008918D7">
        <w:rPr>
          <w:lang w:val="en-GB" w:eastAsia="zh-TW"/>
        </w:rPr>
        <w:t xml:space="preserve">uide would be a strong way to address these issues. </w:t>
      </w:r>
    </w:p>
    <w:p w14:paraId="678BCE1A" w14:textId="725CE287" w:rsidR="00AB4C14" w:rsidRDefault="00724144" w:rsidP="00765AA3">
      <w:pPr>
        <w:rPr>
          <w:lang w:eastAsia="ja-JP"/>
        </w:rPr>
      </w:pPr>
      <w:r>
        <w:rPr>
          <w:lang w:val="en-GB" w:eastAsia="zh-TW"/>
        </w:rPr>
        <w:t>As with the original</w:t>
      </w:r>
      <w:r w:rsidR="000232C3">
        <w:rPr>
          <w:lang w:val="en-GB" w:eastAsia="zh-TW"/>
        </w:rPr>
        <w:t xml:space="preserve"> 2003 </w:t>
      </w:r>
      <w:r w:rsidR="00CB5DF9">
        <w:rPr>
          <w:lang w:val="en-GB" w:eastAsia="zh-TW"/>
        </w:rPr>
        <w:t>b</w:t>
      </w:r>
      <w:r>
        <w:rPr>
          <w:lang w:val="en-GB" w:eastAsia="zh-TW"/>
        </w:rPr>
        <w:t>est</w:t>
      </w:r>
      <w:r w:rsidR="00CB5DF9">
        <w:rPr>
          <w:lang w:val="en-GB" w:eastAsia="zh-TW"/>
        </w:rPr>
        <w:t>-p</w:t>
      </w:r>
      <w:r>
        <w:rPr>
          <w:lang w:val="en-GB" w:eastAsia="zh-TW"/>
        </w:rPr>
        <w:t xml:space="preserve">ractice </w:t>
      </w:r>
      <w:r w:rsidR="00CB5DF9">
        <w:rPr>
          <w:lang w:val="en-GB" w:eastAsia="zh-TW"/>
        </w:rPr>
        <w:t>g</w:t>
      </w:r>
      <w:r>
        <w:rPr>
          <w:lang w:val="en-GB" w:eastAsia="zh-TW"/>
        </w:rPr>
        <w:t>uide</w:t>
      </w:r>
      <w:r w:rsidR="000232C3">
        <w:rPr>
          <w:lang w:val="en-GB" w:eastAsia="zh-TW"/>
        </w:rPr>
        <w:t xml:space="preserve">, a collaborative initiative could be </w:t>
      </w:r>
      <w:r>
        <w:rPr>
          <w:lang w:val="en-GB" w:eastAsia="zh-TW"/>
        </w:rPr>
        <w:t>established</w:t>
      </w:r>
      <w:r w:rsidR="000232C3">
        <w:rPr>
          <w:lang w:val="en-GB" w:eastAsia="zh-TW"/>
        </w:rPr>
        <w:t xml:space="preserve">, with representatives from the public and private sector. </w:t>
      </w:r>
      <w:r w:rsidR="00CE640C">
        <w:rPr>
          <w:lang w:val="en-GB" w:eastAsia="zh-TW"/>
        </w:rPr>
        <w:t xml:space="preserve">Through a consultative process, this initiative could consider the range of issues </w:t>
      </w:r>
      <w:r w:rsidR="00847203">
        <w:rPr>
          <w:lang w:val="en-GB" w:eastAsia="zh-TW"/>
        </w:rPr>
        <w:t xml:space="preserve">that currently exist and form a </w:t>
      </w:r>
      <w:r w:rsidR="00CB5DF9">
        <w:rPr>
          <w:lang w:val="en-GB" w:eastAsia="zh-TW"/>
        </w:rPr>
        <w:t>be</w:t>
      </w:r>
      <w:r w:rsidR="00847203">
        <w:rPr>
          <w:lang w:val="en-GB" w:eastAsia="zh-TW"/>
        </w:rPr>
        <w:t>st</w:t>
      </w:r>
      <w:r w:rsidR="0082174A">
        <w:rPr>
          <w:lang w:val="en-GB" w:eastAsia="zh-TW"/>
        </w:rPr>
        <w:t>-</w:t>
      </w:r>
      <w:r w:rsidR="00CB5DF9">
        <w:rPr>
          <w:lang w:val="en-GB" w:eastAsia="zh-TW"/>
        </w:rPr>
        <w:t>p</w:t>
      </w:r>
      <w:r w:rsidR="00847203">
        <w:rPr>
          <w:lang w:val="en-GB" w:eastAsia="zh-TW"/>
        </w:rPr>
        <w:t xml:space="preserve">ractice </w:t>
      </w:r>
      <w:r w:rsidR="00CB5DF9">
        <w:rPr>
          <w:lang w:val="en-GB" w:eastAsia="zh-TW"/>
        </w:rPr>
        <w:t>g</w:t>
      </w:r>
      <w:r w:rsidR="00847203">
        <w:rPr>
          <w:lang w:val="en-GB" w:eastAsia="zh-TW"/>
        </w:rPr>
        <w:t>uide for all councils to employ</w:t>
      </w:r>
      <w:r w:rsidR="0082174A">
        <w:rPr>
          <w:lang w:val="en-GB" w:eastAsia="zh-TW"/>
        </w:rPr>
        <w:t>. The guide would</w:t>
      </w:r>
      <w:r w:rsidR="00847203">
        <w:rPr>
          <w:lang w:val="en-GB" w:eastAsia="zh-TW"/>
        </w:rPr>
        <w:t xml:space="preserve"> </w:t>
      </w:r>
      <w:r w:rsidR="00984FCD">
        <w:rPr>
          <w:lang w:val="en-GB" w:eastAsia="zh-TW"/>
        </w:rPr>
        <w:t>focus</w:t>
      </w:r>
      <w:r w:rsidR="0082174A">
        <w:rPr>
          <w:lang w:val="en-GB" w:eastAsia="zh-TW"/>
        </w:rPr>
        <w:t xml:space="preserve"> </w:t>
      </w:r>
      <w:r w:rsidR="00984FCD">
        <w:rPr>
          <w:lang w:val="en-GB" w:eastAsia="zh-TW"/>
        </w:rPr>
        <w:t>on consistent mechanisms that are</w:t>
      </w:r>
      <w:r w:rsidR="00847203">
        <w:rPr>
          <w:lang w:val="en-GB" w:eastAsia="zh-TW"/>
        </w:rPr>
        <w:t xml:space="preserve"> “</w:t>
      </w:r>
      <w:r w:rsidR="00847203">
        <w:rPr>
          <w:lang w:eastAsia="ja-JP"/>
        </w:rPr>
        <w:t xml:space="preserve">fair, equitable and </w:t>
      </w:r>
      <w:r w:rsidR="00847203" w:rsidRPr="00B710F6">
        <w:rPr>
          <w:lang w:eastAsia="ja-JP"/>
        </w:rPr>
        <w:t>proportionate</w:t>
      </w:r>
      <w:r w:rsidR="00847203">
        <w:rPr>
          <w:lang w:eastAsia="ja-JP"/>
        </w:rPr>
        <w:t xml:space="preserve">”, as per the DC purpose. </w:t>
      </w:r>
      <w:r w:rsidR="00AA4A99">
        <w:rPr>
          <w:lang w:eastAsia="ja-JP"/>
        </w:rPr>
        <w:t xml:space="preserve">While each council could follow </w:t>
      </w:r>
      <w:r w:rsidR="0082174A">
        <w:rPr>
          <w:lang w:eastAsia="ja-JP"/>
        </w:rPr>
        <w:t>the</w:t>
      </w:r>
      <w:r w:rsidR="00AA4A99">
        <w:rPr>
          <w:lang w:eastAsia="ja-JP"/>
        </w:rPr>
        <w:t xml:space="preserve"> single best</w:t>
      </w:r>
      <w:r w:rsidR="0082174A">
        <w:rPr>
          <w:lang w:eastAsia="ja-JP"/>
        </w:rPr>
        <w:t>-</w:t>
      </w:r>
      <w:r w:rsidR="00AA4A99">
        <w:rPr>
          <w:lang w:eastAsia="ja-JP"/>
        </w:rPr>
        <w:t xml:space="preserve">practice </w:t>
      </w:r>
      <w:r w:rsidR="00AA4A99">
        <w:rPr>
          <w:lang w:val="en-GB" w:eastAsia="zh-TW"/>
        </w:rPr>
        <w:t xml:space="preserve">methodology, each local council could input its own charging rates, reflecting its local costs within each DC category.  </w:t>
      </w:r>
    </w:p>
    <w:p w14:paraId="3253D4BA" w14:textId="6B32A31A" w:rsidR="00C97389" w:rsidRDefault="00D87F5E" w:rsidP="00765AA3">
      <w:pPr>
        <w:rPr>
          <w:lang w:eastAsia="ja-JP"/>
        </w:rPr>
      </w:pPr>
      <w:r>
        <w:rPr>
          <w:lang w:eastAsia="ja-JP"/>
        </w:rPr>
        <w:t>As the Commission suggested in 2012, t</w:t>
      </w:r>
      <w:r w:rsidR="00184EDF">
        <w:rPr>
          <w:lang w:eastAsia="ja-JP"/>
        </w:rPr>
        <w:t xml:space="preserve">his </w:t>
      </w:r>
      <w:r w:rsidR="00AA4A99">
        <w:rPr>
          <w:lang w:eastAsia="ja-JP"/>
        </w:rPr>
        <w:t xml:space="preserve">best-practice </w:t>
      </w:r>
      <w:r w:rsidR="00CB5DF9">
        <w:rPr>
          <w:lang w:eastAsia="ja-JP"/>
        </w:rPr>
        <w:t>g</w:t>
      </w:r>
      <w:r w:rsidR="00184EDF">
        <w:rPr>
          <w:lang w:eastAsia="ja-JP"/>
        </w:rPr>
        <w:t>uide could be directly legislated as a new uniform approach to DC charging</w:t>
      </w:r>
      <w:r w:rsidR="0082174A">
        <w:rPr>
          <w:lang w:eastAsia="ja-JP"/>
        </w:rPr>
        <w:t xml:space="preserve"> </w:t>
      </w:r>
      <w:r w:rsidR="00184EDF">
        <w:rPr>
          <w:lang w:eastAsia="ja-JP"/>
        </w:rPr>
        <w:t xml:space="preserve">or </w:t>
      </w:r>
      <w:r w:rsidR="0082174A">
        <w:rPr>
          <w:lang w:eastAsia="ja-JP"/>
        </w:rPr>
        <w:t xml:space="preserve">it could </w:t>
      </w:r>
      <w:r w:rsidR="00184EDF">
        <w:rPr>
          <w:lang w:eastAsia="ja-JP"/>
        </w:rPr>
        <w:t xml:space="preserve">be </w:t>
      </w:r>
      <w:r w:rsidR="007F5776">
        <w:rPr>
          <w:lang w:eastAsia="ja-JP"/>
        </w:rPr>
        <w:t>referred to</w:t>
      </w:r>
      <w:r w:rsidR="00184EDF">
        <w:rPr>
          <w:lang w:eastAsia="ja-JP"/>
        </w:rPr>
        <w:t xml:space="preserve"> in the legislation but ‘softly enforced’, through training, monitoring and reporting </w:t>
      </w:r>
      <w:r w:rsidR="00A8346B">
        <w:rPr>
          <w:lang w:eastAsia="ja-JP"/>
        </w:rPr>
        <w:t>regulations.</w:t>
      </w:r>
    </w:p>
    <w:p w14:paraId="3FF9AC2A" w14:textId="02F3EC79" w:rsidR="00C97389" w:rsidRDefault="00C97389" w:rsidP="008E763D">
      <w:pPr>
        <w:spacing w:after="240"/>
        <w:rPr>
          <w:lang w:val="en-GB" w:eastAsia="zh-TW"/>
        </w:rPr>
      </w:pPr>
      <w:r>
        <w:rPr>
          <w:lang w:val="en-GB" w:eastAsia="zh-TW"/>
        </w:rPr>
        <w:t xml:space="preserve">We consider the implementation of a new </w:t>
      </w:r>
      <w:r w:rsidR="00407334">
        <w:rPr>
          <w:lang w:val="en-GB" w:eastAsia="zh-TW"/>
        </w:rPr>
        <w:t>b</w:t>
      </w:r>
      <w:r>
        <w:rPr>
          <w:lang w:val="en-GB" w:eastAsia="zh-TW"/>
        </w:rPr>
        <w:t>est</w:t>
      </w:r>
      <w:r w:rsidR="00407334">
        <w:rPr>
          <w:lang w:val="en-GB" w:eastAsia="zh-TW"/>
        </w:rPr>
        <w:t>-p</w:t>
      </w:r>
      <w:r>
        <w:rPr>
          <w:lang w:val="en-GB" w:eastAsia="zh-TW"/>
        </w:rPr>
        <w:t xml:space="preserve">ractice </w:t>
      </w:r>
      <w:r w:rsidR="00407334">
        <w:rPr>
          <w:lang w:val="en-GB" w:eastAsia="zh-TW"/>
        </w:rPr>
        <w:t>g</w:t>
      </w:r>
      <w:r>
        <w:rPr>
          <w:lang w:val="en-GB" w:eastAsia="zh-TW"/>
        </w:rPr>
        <w:t xml:space="preserve">uide </w:t>
      </w:r>
      <w:r w:rsidR="00D93A53">
        <w:rPr>
          <w:lang w:val="en-GB" w:eastAsia="zh-TW"/>
        </w:rPr>
        <w:t>would have the</w:t>
      </w:r>
      <w:r>
        <w:rPr>
          <w:lang w:val="en-GB" w:eastAsia="zh-TW"/>
        </w:rPr>
        <w:t xml:space="preserve"> following key advantages:</w:t>
      </w:r>
    </w:p>
    <w:p w14:paraId="53EDDF91" w14:textId="58555F1E" w:rsidR="00407334" w:rsidRPr="00407334" w:rsidRDefault="00407334" w:rsidP="008E763D">
      <w:pPr>
        <w:pStyle w:val="ListParagraph"/>
        <w:numPr>
          <w:ilvl w:val="0"/>
          <w:numId w:val="26"/>
        </w:numPr>
        <w:spacing w:after="120" w:line="276" w:lineRule="auto"/>
        <w:ind w:left="714" w:hanging="357"/>
        <w:contextualSpacing w:val="0"/>
        <w:rPr>
          <w:rFonts w:cs="Open Sans"/>
          <w:lang w:val="en-GB" w:eastAsia="zh-TW"/>
        </w:rPr>
      </w:pPr>
      <w:r>
        <w:rPr>
          <w:rFonts w:ascii="Open Sans Semibold" w:hAnsi="Open Sans Semibold" w:cs="Open Sans Semibold"/>
          <w:b/>
          <w:lang w:val="en-GB" w:eastAsia="zh-TW"/>
        </w:rPr>
        <w:t>iron out the kinks in the system</w:t>
      </w:r>
      <w:r w:rsidRPr="00F0298E">
        <w:rPr>
          <w:rFonts w:ascii="Open Sans Semibold" w:hAnsi="Open Sans Semibold" w:cs="Open Sans Semibold"/>
          <w:b/>
          <w:lang w:val="en-GB" w:eastAsia="zh-TW"/>
        </w:rPr>
        <w:t xml:space="preserve">: </w:t>
      </w:r>
      <w:r>
        <w:rPr>
          <w:rFonts w:cs="Open Sans"/>
          <w:lang w:val="en-GB" w:eastAsia="zh-TW"/>
        </w:rPr>
        <w:t xml:space="preserve">a collaborative and consultative approach to developing the best-practice guide would ensure that </w:t>
      </w:r>
      <w:r w:rsidR="003D4DFD">
        <w:rPr>
          <w:rFonts w:cs="Open Sans"/>
          <w:lang w:val="en-GB" w:eastAsia="zh-TW"/>
        </w:rPr>
        <w:t>the range of issues within the system are acknowledged and addressed</w:t>
      </w:r>
      <w:r w:rsidR="00054F62">
        <w:rPr>
          <w:rFonts w:cs="Open Sans"/>
          <w:lang w:val="en-GB" w:eastAsia="zh-TW"/>
        </w:rPr>
        <w:t>, reducing animosity between developers and local councils;</w:t>
      </w:r>
    </w:p>
    <w:p w14:paraId="684E9CD3" w14:textId="688F7888" w:rsidR="00C97389" w:rsidRPr="00F0298E" w:rsidRDefault="00CB5DF9" w:rsidP="008E763D">
      <w:pPr>
        <w:pStyle w:val="ListParagraph"/>
        <w:numPr>
          <w:ilvl w:val="0"/>
          <w:numId w:val="26"/>
        </w:numPr>
        <w:spacing w:after="120" w:line="276" w:lineRule="auto"/>
        <w:ind w:left="714" w:hanging="357"/>
        <w:contextualSpacing w:val="0"/>
        <w:rPr>
          <w:rFonts w:cs="Open Sans"/>
          <w:lang w:val="en-GB" w:eastAsia="zh-TW"/>
        </w:rPr>
      </w:pPr>
      <w:r>
        <w:rPr>
          <w:rFonts w:ascii="Open Sans Semibold" w:hAnsi="Open Sans Semibold" w:cs="Open Sans Semibold"/>
          <w:b/>
          <w:lang w:val="en-GB" w:eastAsia="zh-TW"/>
        </w:rPr>
        <w:t>r</w:t>
      </w:r>
      <w:r w:rsidR="00C97389">
        <w:rPr>
          <w:rFonts w:ascii="Open Sans Semibold" w:hAnsi="Open Sans Semibold" w:cs="Open Sans Semibold"/>
          <w:b/>
          <w:lang w:val="en-GB" w:eastAsia="zh-TW"/>
        </w:rPr>
        <w:t>elieving</w:t>
      </w:r>
      <w:r w:rsidR="00C97389" w:rsidRPr="00F0298E">
        <w:rPr>
          <w:rFonts w:ascii="Open Sans Semibold" w:hAnsi="Open Sans Semibold" w:cs="Open Sans Semibold"/>
          <w:b/>
          <w:lang w:val="en-GB" w:eastAsia="zh-TW"/>
        </w:rPr>
        <w:t xml:space="preserve"> pressure on councils: </w:t>
      </w:r>
      <w:r w:rsidR="00407334">
        <w:rPr>
          <w:rFonts w:cs="Open Sans"/>
          <w:lang w:val="en-GB" w:eastAsia="zh-TW"/>
        </w:rPr>
        <w:t>b</w:t>
      </w:r>
      <w:r w:rsidR="00C97389">
        <w:rPr>
          <w:rFonts w:cs="Open Sans"/>
          <w:lang w:val="en-GB" w:eastAsia="zh-TW"/>
        </w:rPr>
        <w:t>eing able to implement an established best</w:t>
      </w:r>
      <w:r w:rsidR="00D93A53">
        <w:rPr>
          <w:rFonts w:cs="Open Sans"/>
          <w:lang w:val="en-GB" w:eastAsia="zh-TW"/>
        </w:rPr>
        <w:t>-</w:t>
      </w:r>
      <w:r w:rsidR="00C97389">
        <w:rPr>
          <w:rFonts w:cs="Open Sans"/>
          <w:lang w:val="en-GB" w:eastAsia="zh-TW"/>
        </w:rPr>
        <w:t xml:space="preserve">practice approach </w:t>
      </w:r>
      <w:r w:rsidR="00D93A53">
        <w:rPr>
          <w:rFonts w:cs="Open Sans"/>
          <w:lang w:val="en-GB" w:eastAsia="zh-TW"/>
        </w:rPr>
        <w:t xml:space="preserve">would </w:t>
      </w:r>
      <w:r w:rsidR="00C97389" w:rsidRPr="00F0298E">
        <w:rPr>
          <w:rFonts w:cs="Open Sans"/>
          <w:lang w:val="en-GB" w:eastAsia="zh-TW"/>
        </w:rPr>
        <w:t>re</w:t>
      </w:r>
      <w:r w:rsidR="00D93A53">
        <w:rPr>
          <w:rFonts w:cs="Open Sans"/>
          <w:lang w:val="en-GB" w:eastAsia="zh-TW"/>
        </w:rPr>
        <w:t>duce</w:t>
      </w:r>
      <w:r w:rsidR="00C97389" w:rsidRPr="00F0298E">
        <w:rPr>
          <w:rFonts w:cs="Open Sans"/>
          <w:lang w:val="en-GB" w:eastAsia="zh-TW"/>
        </w:rPr>
        <w:t xml:space="preserve"> the responsibility and resource requirement </w:t>
      </w:r>
      <w:r w:rsidR="00D93A53">
        <w:rPr>
          <w:rFonts w:cs="Open Sans"/>
          <w:lang w:val="en-GB" w:eastAsia="zh-TW"/>
        </w:rPr>
        <w:t xml:space="preserve">on </w:t>
      </w:r>
      <w:r w:rsidR="00C97389" w:rsidRPr="00F0298E">
        <w:rPr>
          <w:rFonts w:cs="Open Sans"/>
          <w:lang w:val="en-GB" w:eastAsia="zh-TW"/>
        </w:rPr>
        <w:t xml:space="preserve">councils of </w:t>
      </w:r>
      <w:r w:rsidR="00D93A53">
        <w:rPr>
          <w:rFonts w:cs="Open Sans"/>
          <w:lang w:val="en-GB" w:eastAsia="zh-TW"/>
        </w:rPr>
        <w:t xml:space="preserve">having to </w:t>
      </w:r>
      <w:r w:rsidR="00C97389" w:rsidRPr="00F0298E">
        <w:rPr>
          <w:rFonts w:cs="Open Sans"/>
          <w:lang w:val="en-GB" w:eastAsia="zh-TW"/>
        </w:rPr>
        <w:t>creat</w:t>
      </w:r>
      <w:r w:rsidR="00D93A53">
        <w:rPr>
          <w:rFonts w:cs="Open Sans"/>
          <w:lang w:val="en-GB" w:eastAsia="zh-TW"/>
        </w:rPr>
        <w:t>e</w:t>
      </w:r>
      <w:r w:rsidR="00C97389" w:rsidRPr="00F0298E">
        <w:rPr>
          <w:rFonts w:cs="Open Sans"/>
          <w:lang w:val="en-GB" w:eastAsia="zh-TW"/>
        </w:rPr>
        <w:t xml:space="preserve"> and regularly updating complex DC policies;</w:t>
      </w:r>
    </w:p>
    <w:p w14:paraId="2AE33521" w14:textId="72419CE2" w:rsidR="00C97389" w:rsidRPr="00F0298E" w:rsidRDefault="00CB5DF9" w:rsidP="008E763D">
      <w:pPr>
        <w:pStyle w:val="ListParagraph"/>
        <w:numPr>
          <w:ilvl w:val="0"/>
          <w:numId w:val="26"/>
        </w:numPr>
        <w:spacing w:after="120" w:line="276" w:lineRule="auto"/>
        <w:ind w:left="714" w:hanging="357"/>
        <w:contextualSpacing w:val="0"/>
        <w:rPr>
          <w:rFonts w:cs="Open Sans"/>
          <w:lang w:val="en-GB" w:eastAsia="zh-TW"/>
        </w:rPr>
      </w:pPr>
      <w:r>
        <w:rPr>
          <w:rFonts w:ascii="Open Sans Semibold" w:hAnsi="Open Sans Semibold" w:cs="Open Sans Semibold"/>
          <w:b/>
          <w:lang w:val="en-GB" w:eastAsia="zh-TW"/>
        </w:rPr>
        <w:t>i</w:t>
      </w:r>
      <w:r w:rsidR="00C97389">
        <w:rPr>
          <w:rFonts w:ascii="Open Sans Semibold" w:hAnsi="Open Sans Semibold" w:cs="Open Sans Semibold"/>
          <w:b/>
          <w:lang w:val="en-GB" w:eastAsia="zh-TW"/>
        </w:rPr>
        <w:t>mproving</w:t>
      </w:r>
      <w:r w:rsidR="00C97389" w:rsidRPr="00F0298E">
        <w:rPr>
          <w:rFonts w:ascii="Open Sans Semibold" w:hAnsi="Open Sans Semibold" w:cs="Open Sans Semibold"/>
          <w:b/>
          <w:lang w:val="en-GB" w:eastAsia="zh-TW"/>
        </w:rPr>
        <w:t xml:space="preserve"> understandability and transparency: </w:t>
      </w:r>
      <w:r w:rsidR="00407334">
        <w:rPr>
          <w:rFonts w:cs="Open Sans"/>
          <w:lang w:val="en-GB" w:eastAsia="zh-TW"/>
        </w:rPr>
        <w:t>a</w:t>
      </w:r>
      <w:r w:rsidR="00C97389" w:rsidRPr="00F0298E">
        <w:rPr>
          <w:rFonts w:cs="Open Sans"/>
          <w:lang w:val="en-GB" w:eastAsia="zh-TW"/>
        </w:rPr>
        <w:t xml:space="preserve"> </w:t>
      </w:r>
      <w:r w:rsidR="00C97389">
        <w:rPr>
          <w:rFonts w:cs="Open Sans"/>
          <w:lang w:val="en-GB" w:eastAsia="zh-TW"/>
        </w:rPr>
        <w:t>best</w:t>
      </w:r>
      <w:r w:rsidR="00D93A53">
        <w:rPr>
          <w:rFonts w:cs="Open Sans"/>
          <w:lang w:val="en-GB" w:eastAsia="zh-TW"/>
        </w:rPr>
        <w:t>-</w:t>
      </w:r>
      <w:r w:rsidR="00C97389">
        <w:rPr>
          <w:rFonts w:cs="Open Sans"/>
          <w:lang w:val="en-GB" w:eastAsia="zh-TW"/>
        </w:rPr>
        <w:t>practice approach</w:t>
      </w:r>
      <w:r w:rsidR="00C97389" w:rsidRPr="00F0298E">
        <w:rPr>
          <w:rFonts w:cs="Open Sans"/>
          <w:lang w:val="en-GB" w:eastAsia="zh-TW"/>
        </w:rPr>
        <w:t xml:space="preserve"> would be easier for developers operating across the country to become familiar with, understand and cross-check; </w:t>
      </w:r>
    </w:p>
    <w:p w14:paraId="6979EABC" w14:textId="321AD057" w:rsidR="00C97389" w:rsidRPr="00F0298E" w:rsidRDefault="00CB5DF9" w:rsidP="008E763D">
      <w:pPr>
        <w:pStyle w:val="ListParagraph"/>
        <w:numPr>
          <w:ilvl w:val="0"/>
          <w:numId w:val="26"/>
        </w:numPr>
        <w:spacing w:after="120" w:line="276" w:lineRule="auto"/>
        <w:ind w:left="714" w:hanging="357"/>
        <w:contextualSpacing w:val="0"/>
        <w:rPr>
          <w:rFonts w:ascii="Open Sans Semibold" w:hAnsi="Open Sans Semibold" w:cs="Open Sans Semibold"/>
          <w:b/>
          <w:lang w:val="en-GB" w:eastAsia="zh-TW"/>
        </w:rPr>
      </w:pPr>
      <w:r>
        <w:rPr>
          <w:rFonts w:ascii="Open Sans Semibold" w:hAnsi="Open Sans Semibold" w:cs="Open Sans Semibold"/>
          <w:b/>
          <w:lang w:val="en-GB" w:eastAsia="zh-TW"/>
        </w:rPr>
        <w:t>i</w:t>
      </w:r>
      <w:r w:rsidR="00C97389">
        <w:rPr>
          <w:rFonts w:ascii="Open Sans Semibold" w:hAnsi="Open Sans Semibold" w:cs="Open Sans Semibold"/>
          <w:b/>
          <w:lang w:val="en-GB" w:eastAsia="zh-TW"/>
        </w:rPr>
        <w:t>ncreasing r</w:t>
      </w:r>
      <w:r w:rsidR="00C97389" w:rsidRPr="00F0298E">
        <w:rPr>
          <w:rFonts w:ascii="Open Sans Semibold" w:hAnsi="Open Sans Semibold" w:cs="Open Sans Semibold"/>
          <w:b/>
          <w:lang w:val="en-GB" w:eastAsia="zh-TW"/>
        </w:rPr>
        <w:t xml:space="preserve">eliability: </w:t>
      </w:r>
      <w:r w:rsidR="00407334">
        <w:rPr>
          <w:rFonts w:cs="Open Sans"/>
          <w:lang w:val="en-GB" w:eastAsia="zh-TW"/>
        </w:rPr>
        <w:t>t</w:t>
      </w:r>
      <w:r w:rsidR="00C97389">
        <w:rPr>
          <w:rFonts w:cs="Open Sans"/>
          <w:lang w:val="en-GB" w:eastAsia="zh-TW"/>
        </w:rPr>
        <w:t>he</w:t>
      </w:r>
      <w:r w:rsidR="00C97389" w:rsidRPr="00F0298E">
        <w:rPr>
          <w:rFonts w:cs="Open Sans"/>
          <w:lang w:val="en-GB" w:eastAsia="zh-TW"/>
        </w:rPr>
        <w:t xml:space="preserve"> DC system </w:t>
      </w:r>
      <w:r w:rsidR="00C97389">
        <w:rPr>
          <w:rFonts w:cs="Open Sans"/>
          <w:lang w:val="en-GB" w:eastAsia="zh-TW"/>
        </w:rPr>
        <w:t xml:space="preserve">where </w:t>
      </w:r>
      <w:r w:rsidR="00C97389" w:rsidRPr="00F0298E">
        <w:rPr>
          <w:rFonts w:cs="Open Sans"/>
          <w:lang w:val="en-GB" w:eastAsia="zh-TW"/>
        </w:rPr>
        <w:t xml:space="preserve">all local councils operate independently is prone to errors and typos, both in DC policy development and application. A </w:t>
      </w:r>
      <w:r w:rsidR="008B3A74">
        <w:rPr>
          <w:rFonts w:cs="Open Sans"/>
          <w:lang w:val="en-GB" w:eastAsia="zh-TW"/>
        </w:rPr>
        <w:t>best</w:t>
      </w:r>
      <w:r w:rsidR="00D93A53">
        <w:rPr>
          <w:rFonts w:cs="Open Sans"/>
          <w:lang w:val="en-GB" w:eastAsia="zh-TW"/>
        </w:rPr>
        <w:t>-</w:t>
      </w:r>
      <w:r w:rsidR="008B3A74">
        <w:rPr>
          <w:rFonts w:cs="Open Sans"/>
          <w:lang w:val="en-GB" w:eastAsia="zh-TW"/>
        </w:rPr>
        <w:t>practice approach</w:t>
      </w:r>
      <w:r w:rsidR="00C97389" w:rsidRPr="00F0298E">
        <w:rPr>
          <w:rFonts w:cs="Open Sans"/>
          <w:lang w:val="en-GB" w:eastAsia="zh-TW"/>
        </w:rPr>
        <w:t xml:space="preserve"> </w:t>
      </w:r>
      <w:r w:rsidR="00C97389">
        <w:rPr>
          <w:rFonts w:cs="Open Sans"/>
          <w:lang w:val="en-GB" w:eastAsia="zh-TW"/>
        </w:rPr>
        <w:t>should reduce the frequency</w:t>
      </w:r>
      <w:r w:rsidR="00C97389" w:rsidRPr="00F0298E">
        <w:rPr>
          <w:rFonts w:cs="Open Sans"/>
          <w:lang w:val="en-GB" w:eastAsia="zh-TW"/>
        </w:rPr>
        <w:t xml:space="preserve"> of these sorts of issues and increase the likelihood </w:t>
      </w:r>
      <w:r w:rsidR="00C97389">
        <w:rPr>
          <w:rFonts w:cs="Open Sans"/>
          <w:lang w:val="en-GB" w:eastAsia="zh-TW"/>
        </w:rPr>
        <w:t xml:space="preserve">that any </w:t>
      </w:r>
      <w:r w:rsidR="00C97389" w:rsidRPr="00F0298E">
        <w:rPr>
          <w:rFonts w:cs="Open Sans"/>
          <w:lang w:val="en-GB" w:eastAsia="zh-TW"/>
        </w:rPr>
        <w:t>issues tha</w:t>
      </w:r>
      <w:r w:rsidR="00C97389">
        <w:rPr>
          <w:rFonts w:cs="Open Sans"/>
          <w:lang w:val="en-GB" w:eastAsia="zh-TW"/>
        </w:rPr>
        <w:t>t</w:t>
      </w:r>
      <w:r w:rsidR="00C97389" w:rsidRPr="00F0298E">
        <w:rPr>
          <w:rFonts w:cs="Open Sans"/>
          <w:lang w:val="en-GB" w:eastAsia="zh-TW"/>
        </w:rPr>
        <w:t xml:space="preserve"> occur</w:t>
      </w:r>
      <w:r w:rsidR="00C97389">
        <w:rPr>
          <w:rFonts w:cs="Open Sans"/>
          <w:lang w:val="en-GB" w:eastAsia="zh-TW"/>
        </w:rPr>
        <w:t xml:space="preserve"> would be discovered and resolved;</w:t>
      </w:r>
      <w:r>
        <w:rPr>
          <w:rFonts w:cs="Open Sans"/>
          <w:lang w:val="en-GB" w:eastAsia="zh-TW"/>
        </w:rPr>
        <w:t xml:space="preserve"> and</w:t>
      </w:r>
    </w:p>
    <w:p w14:paraId="5492925D" w14:textId="7AFBB3F7" w:rsidR="00587E9E" w:rsidRDefault="00CB5DF9" w:rsidP="008E763D">
      <w:pPr>
        <w:pStyle w:val="ListParagraph"/>
        <w:numPr>
          <w:ilvl w:val="0"/>
          <w:numId w:val="26"/>
        </w:numPr>
        <w:spacing w:after="240" w:line="276" w:lineRule="auto"/>
        <w:ind w:left="714" w:hanging="357"/>
        <w:contextualSpacing w:val="0"/>
        <w:rPr>
          <w:rFonts w:cs="Open Sans"/>
          <w:lang w:val="en-AU" w:eastAsia="ja-JP"/>
        </w:rPr>
      </w:pPr>
      <w:r>
        <w:rPr>
          <w:rFonts w:ascii="Open Sans Semibold" w:hAnsi="Open Sans Semibold" w:cs="Open Sans Semibold"/>
          <w:b/>
          <w:lang w:val="en-GB" w:eastAsia="zh-TW"/>
        </w:rPr>
        <w:t>r</w:t>
      </w:r>
      <w:r w:rsidR="00C97389">
        <w:rPr>
          <w:rFonts w:ascii="Open Sans Semibold" w:hAnsi="Open Sans Semibold" w:cs="Open Sans Semibold"/>
          <w:b/>
          <w:lang w:val="en-GB" w:eastAsia="zh-TW"/>
        </w:rPr>
        <w:t>educing v</w:t>
      </w:r>
      <w:r w:rsidR="00C97389" w:rsidRPr="00F0298E">
        <w:rPr>
          <w:rFonts w:ascii="Open Sans Semibold" w:hAnsi="Open Sans Semibold" w:cs="Open Sans Semibold"/>
          <w:b/>
          <w:lang w:val="en-GB" w:eastAsia="zh-TW"/>
        </w:rPr>
        <w:t>ariability:</w:t>
      </w:r>
      <w:r w:rsidR="00C97389" w:rsidRPr="00F0298E">
        <w:rPr>
          <w:rFonts w:cs="Open Sans"/>
          <w:lang w:val="en-GB" w:eastAsia="zh-TW"/>
        </w:rPr>
        <w:t xml:space="preserve"> </w:t>
      </w:r>
      <w:r w:rsidR="00407334">
        <w:rPr>
          <w:rFonts w:cs="Open Sans"/>
          <w:lang w:val="en-GB" w:eastAsia="zh-TW"/>
        </w:rPr>
        <w:t>i</w:t>
      </w:r>
      <w:r w:rsidR="00C97389" w:rsidRPr="00F0298E">
        <w:rPr>
          <w:rFonts w:cs="Open Sans"/>
          <w:lang w:val="en-GB" w:eastAsia="zh-TW"/>
        </w:rPr>
        <w:t xml:space="preserve">mportantly, </w:t>
      </w:r>
      <w:r w:rsidR="00C97389" w:rsidRPr="00F0298E">
        <w:rPr>
          <w:rFonts w:cs="Open Sans"/>
          <w:lang w:val="en-AU" w:eastAsia="ja-JP"/>
        </w:rPr>
        <w:t xml:space="preserve">a </w:t>
      </w:r>
      <w:r w:rsidR="00AB4C14">
        <w:rPr>
          <w:rFonts w:cs="Open Sans"/>
          <w:lang w:val="en-AU" w:eastAsia="ja-JP"/>
        </w:rPr>
        <w:t>best</w:t>
      </w:r>
      <w:r w:rsidR="00D93A53">
        <w:rPr>
          <w:rFonts w:cs="Open Sans"/>
          <w:lang w:val="en-AU" w:eastAsia="ja-JP"/>
        </w:rPr>
        <w:t>-</w:t>
      </w:r>
      <w:r w:rsidR="00AB4C14">
        <w:rPr>
          <w:rFonts w:cs="Open Sans"/>
          <w:lang w:val="en-AU" w:eastAsia="ja-JP"/>
        </w:rPr>
        <w:t>practice approach</w:t>
      </w:r>
      <w:r w:rsidR="00C97389" w:rsidRPr="00F0298E">
        <w:rPr>
          <w:rFonts w:cs="Open Sans"/>
          <w:lang w:val="en-AU" w:eastAsia="ja-JP"/>
        </w:rPr>
        <w:t xml:space="preserve"> would significantly improve the consistency of charging mechanisms</w:t>
      </w:r>
      <w:r w:rsidR="00D93A53">
        <w:rPr>
          <w:rFonts w:cs="Open Sans"/>
          <w:lang w:val="en-AU" w:eastAsia="ja-JP"/>
        </w:rPr>
        <w:t xml:space="preserve"> </w:t>
      </w:r>
      <w:r w:rsidR="00C97389" w:rsidRPr="00F0298E">
        <w:rPr>
          <w:rFonts w:cs="Open Sans"/>
          <w:lang w:val="en-AU" w:eastAsia="ja-JP"/>
        </w:rPr>
        <w:t>across the country</w:t>
      </w:r>
      <w:r>
        <w:rPr>
          <w:rFonts w:cs="Open Sans"/>
          <w:lang w:val="en-AU" w:eastAsia="ja-JP"/>
        </w:rPr>
        <w:t>.</w:t>
      </w:r>
    </w:p>
    <w:p w14:paraId="4ABD0064" w14:textId="6003BD2F" w:rsidR="002650B3" w:rsidRPr="002650B3" w:rsidRDefault="002650B3" w:rsidP="002650B3">
      <w:pPr>
        <w:rPr>
          <w:rFonts w:cs="Open Sans"/>
          <w:lang w:val="en-AU" w:eastAsia="ja-JP"/>
        </w:rPr>
      </w:pPr>
      <w:r w:rsidRPr="002650B3">
        <w:rPr>
          <w:rFonts w:cs="Open Sans"/>
          <w:lang w:val="en-AU" w:eastAsia="ja-JP"/>
        </w:rPr>
        <w:t>Overall, DC charging is a complex issue. Amendments to the system that occurred in 2014 may have been aimed in the right direction, however they do not appear to have been effective in practice</w:t>
      </w:r>
      <w:r w:rsidR="00612582">
        <w:rPr>
          <w:rFonts w:cs="Open Sans"/>
          <w:lang w:val="en-AU" w:eastAsia="ja-JP"/>
        </w:rPr>
        <w:t xml:space="preserve">, as </w:t>
      </w:r>
      <w:proofErr w:type="gramStart"/>
      <w:r w:rsidR="00612582">
        <w:rPr>
          <w:rFonts w:cs="Open Sans"/>
          <w:lang w:val="en-AU" w:eastAsia="ja-JP"/>
        </w:rPr>
        <w:t>a number of</w:t>
      </w:r>
      <w:proofErr w:type="gramEnd"/>
      <w:r w:rsidR="00612582">
        <w:rPr>
          <w:rFonts w:cs="Open Sans"/>
          <w:lang w:val="en-AU" w:eastAsia="ja-JP"/>
        </w:rPr>
        <w:t xml:space="preserve"> issues remain</w:t>
      </w:r>
      <w:r w:rsidR="00E074D1">
        <w:rPr>
          <w:rFonts w:cs="Open Sans"/>
          <w:lang w:val="en-AU" w:eastAsia="ja-JP"/>
        </w:rPr>
        <w:t xml:space="preserve">. </w:t>
      </w:r>
      <w:r w:rsidRPr="002650B3">
        <w:rPr>
          <w:rFonts w:cs="Open Sans"/>
          <w:lang w:val="en-AU" w:eastAsia="ja-JP"/>
        </w:rPr>
        <w:t xml:space="preserve">At this point, we consider the best way to achieve consistent, fair and equitable charges is </w:t>
      </w:r>
      <w:r w:rsidR="00C27178">
        <w:rPr>
          <w:rFonts w:cs="Open Sans"/>
          <w:lang w:val="en-AU" w:eastAsia="ja-JP"/>
        </w:rPr>
        <w:t xml:space="preserve">to </w:t>
      </w:r>
      <w:r w:rsidR="003755AF">
        <w:rPr>
          <w:rFonts w:cs="Open Sans"/>
          <w:lang w:val="en-AU" w:eastAsia="ja-JP"/>
        </w:rPr>
        <w:t xml:space="preserve">carefully </w:t>
      </w:r>
      <w:r w:rsidR="00C27178">
        <w:rPr>
          <w:rFonts w:cs="Open Sans"/>
          <w:lang w:val="en-AU" w:eastAsia="ja-JP"/>
        </w:rPr>
        <w:t>develop and implement a new best-practice guide for DC charging.</w:t>
      </w:r>
    </w:p>
    <w:p w14:paraId="1DC239C8" w14:textId="77777777" w:rsidR="00542374" w:rsidRPr="002650B3" w:rsidRDefault="00542374" w:rsidP="002650B3">
      <w:pPr>
        <w:rPr>
          <w:rFonts w:cs="Open Sans"/>
          <w:lang w:val="en-AU" w:eastAsia="ja-JP"/>
        </w:rPr>
      </w:pPr>
    </w:p>
    <w:sectPr w:rsidR="00542374" w:rsidRPr="002650B3" w:rsidSect="0058545D">
      <w:footerReference w:type="default" r:id="rId36"/>
      <w:footerReference w:type="first" r:id="rId37"/>
      <w:pgSz w:w="11906" w:h="16838" w:code="9"/>
      <w:pgMar w:top="1121" w:right="1440" w:bottom="1440" w:left="1440" w:header="709"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F645D" w14:textId="77777777" w:rsidR="00B8306A" w:rsidRDefault="00B8306A" w:rsidP="00463A14">
      <w:r>
        <w:separator/>
      </w:r>
    </w:p>
    <w:p w14:paraId="43DA4603" w14:textId="77777777" w:rsidR="00B8306A" w:rsidRDefault="00B8306A" w:rsidP="00463A14"/>
    <w:p w14:paraId="27BCBAA2" w14:textId="77777777" w:rsidR="00B8306A" w:rsidRDefault="00B8306A" w:rsidP="00463A14"/>
  </w:endnote>
  <w:endnote w:type="continuationSeparator" w:id="0">
    <w:p w14:paraId="437D602E" w14:textId="77777777" w:rsidR="00B8306A" w:rsidRDefault="00B8306A" w:rsidP="00463A14">
      <w:r>
        <w:continuationSeparator/>
      </w:r>
    </w:p>
    <w:p w14:paraId="3BDF9170" w14:textId="77777777" w:rsidR="00B8306A" w:rsidRDefault="00B8306A" w:rsidP="00463A14"/>
    <w:p w14:paraId="0ADB4F88" w14:textId="77777777" w:rsidR="00B8306A" w:rsidRDefault="00B8306A" w:rsidP="00463A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bold">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Cambria"/>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ourier">
    <w:panose1 w:val="02070409020205020404"/>
    <w:charset w:val="00"/>
    <w:family w:val="auto"/>
    <w:pitch w:val="variable"/>
    <w:sig w:usb0="00000003" w:usb1="00000000" w:usb2="00000000" w:usb3="00000000" w:csb0="00000003" w:csb1="00000000"/>
  </w:font>
  <w:font w:name="MinionPro-Regular">
    <w:charset w:val="4D"/>
    <w:family w:val="auto"/>
    <w:pitch w:val="default"/>
    <w:sig w:usb0="00000003" w:usb1="00000000" w:usb2="00000000" w:usb3="00000000" w:csb0="00000001" w:csb1="00000000"/>
  </w:font>
  <w:font w:name="Arial Mäori">
    <w:altName w:val="Arial"/>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6200" w14:textId="60C17CA1" w:rsidR="005A4AFA" w:rsidRPr="00D7483C" w:rsidRDefault="005A4AFA" w:rsidP="0017132F">
    <w:pPr>
      <w:pStyle w:val="Footer"/>
      <w:framePr w:wrap="none" w:vAnchor="text" w:hAnchor="margin" w:xAlign="right" w:y="1"/>
      <w:rPr>
        <w:rStyle w:val="PageNumber"/>
        <w:color w:val="263C7B"/>
      </w:rPr>
    </w:pPr>
    <w:r w:rsidRPr="00D7483C">
      <w:rPr>
        <w:rStyle w:val="PageNumber"/>
        <w:color w:val="263C7B"/>
      </w:rPr>
      <w:fldChar w:fldCharType="begin"/>
    </w:r>
    <w:r w:rsidRPr="00D7483C">
      <w:rPr>
        <w:rStyle w:val="PageNumber"/>
        <w:color w:val="263C7B"/>
      </w:rPr>
      <w:instrText xml:space="preserve">PAGE  </w:instrText>
    </w:r>
    <w:r w:rsidRPr="00D7483C">
      <w:rPr>
        <w:rStyle w:val="PageNumber"/>
        <w:color w:val="263C7B"/>
      </w:rPr>
      <w:fldChar w:fldCharType="separate"/>
    </w:r>
    <w:r>
      <w:rPr>
        <w:rStyle w:val="PageNumber"/>
        <w:noProof/>
        <w:color w:val="263C7B"/>
      </w:rPr>
      <w:t>4</w:t>
    </w:r>
    <w:r w:rsidRPr="00D7483C">
      <w:rPr>
        <w:rStyle w:val="PageNumber"/>
        <w:color w:val="263C7B"/>
      </w:rPr>
      <w:fldChar w:fldCharType="end"/>
    </w:r>
  </w:p>
  <w:p w14:paraId="0FCBAB23" w14:textId="2F9DA9C5" w:rsidR="005A4AFA" w:rsidRPr="00290113" w:rsidRDefault="005A4AFA" w:rsidP="0017132F">
    <w:pPr>
      <w:ind w:right="360"/>
      <w:jc w:val="left"/>
      <w:rPr>
        <w:color w:val="263C7B"/>
        <w:szCs w:val="16"/>
        <w:lang w:val="en-AU"/>
      </w:rPr>
    </w:pPr>
    <w:r w:rsidRPr="00D7483C">
      <w:rPr>
        <w:color w:val="263C7B"/>
        <w:szCs w:val="16"/>
      </w:rPr>
      <w:t xml:space="preserve">TDB Advisory Ltd        tdb.co.nz        </w:t>
    </w:r>
    <w:r>
      <w:rPr>
        <w:color w:val="263C7B"/>
        <w:szCs w:val="16"/>
        <w:lang w:val="en-AU" w:eastAsia="ja-JP"/>
      </w:rPr>
      <w:t>Development Contributions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3CDFA" w14:textId="2B3010C8" w:rsidR="005A4AFA" w:rsidRDefault="005A4AFA" w:rsidP="00463A14">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C7608" w14:textId="77777777" w:rsidR="00B8306A" w:rsidRDefault="00B8306A" w:rsidP="00463A14">
      <w:r>
        <w:separator/>
      </w:r>
    </w:p>
  </w:footnote>
  <w:footnote w:type="continuationSeparator" w:id="0">
    <w:p w14:paraId="012714B0" w14:textId="77777777" w:rsidR="00B8306A" w:rsidRDefault="00B8306A" w:rsidP="00463A14">
      <w:r>
        <w:continuationSeparator/>
      </w:r>
    </w:p>
    <w:p w14:paraId="53515444" w14:textId="77777777" w:rsidR="00B8306A" w:rsidRDefault="00B8306A" w:rsidP="00463A14"/>
    <w:p w14:paraId="721A949C" w14:textId="77777777" w:rsidR="00B8306A" w:rsidRDefault="00B8306A" w:rsidP="00463A14"/>
  </w:footnote>
  <w:footnote w:id="1">
    <w:p w14:paraId="58C9F851" w14:textId="7E078020" w:rsidR="005A4AFA" w:rsidRPr="005507C9" w:rsidRDefault="005A4AFA" w:rsidP="005778D9">
      <w:pPr>
        <w:pStyle w:val="FootnoteText"/>
        <w:rPr>
          <w:highlight w:val="yellow"/>
          <w:lang w:val="en-AU"/>
        </w:rPr>
      </w:pPr>
      <w:r>
        <w:rPr>
          <w:rStyle w:val="FootnoteReference"/>
        </w:rPr>
        <w:footnoteRef/>
      </w:r>
      <w:r>
        <w:t xml:space="preserve"> </w:t>
      </w:r>
      <w:r w:rsidRPr="007C26FA">
        <w:t>Local Government Act, 2002, section 200.</w:t>
      </w:r>
    </w:p>
  </w:footnote>
  <w:footnote w:id="2">
    <w:p w14:paraId="16CDE9D8" w14:textId="77777777" w:rsidR="005A4AFA" w:rsidRPr="001E1A5A" w:rsidRDefault="005A4AFA" w:rsidP="00A73C75">
      <w:pPr>
        <w:spacing w:line="240" w:lineRule="auto"/>
        <w:rPr>
          <w:rFonts w:ascii="Times New Roman" w:eastAsia="Times New Roman" w:hAnsi="Times New Roman" w:cs="Times New Roman"/>
          <w:sz w:val="24"/>
          <w:szCs w:val="24"/>
          <w:lang w:eastAsia="zh-CN"/>
        </w:rPr>
      </w:pPr>
      <w:r>
        <w:rPr>
          <w:rStyle w:val="FootnoteReference"/>
        </w:rPr>
        <w:footnoteRef/>
      </w:r>
      <w:r>
        <w:t xml:space="preserve"> </w:t>
      </w:r>
      <w:r w:rsidRPr="001E1A5A">
        <w:rPr>
          <w:sz w:val="16"/>
        </w:rPr>
        <w:t>L</w:t>
      </w:r>
      <w:r w:rsidRPr="00076563">
        <w:rPr>
          <w:sz w:val="16"/>
        </w:rPr>
        <w:t>https://www.dia.govt.nz/vwluResources/BLG-QandA-1b/$file/BLG-QandA-Dev-cons-June-2014.pdf</w:t>
      </w:r>
      <w:r>
        <w:rPr>
          <w:sz w:val="16"/>
        </w:rPr>
        <w:t xml:space="preserve"> </w:t>
      </w:r>
    </w:p>
    <w:p w14:paraId="7490CEEB" w14:textId="77777777" w:rsidR="005A4AFA" w:rsidRPr="00DF318A" w:rsidRDefault="005A4AFA" w:rsidP="00A73C75">
      <w:pPr>
        <w:pStyle w:val="NormalWeb"/>
        <w:rPr>
          <w:rFonts w:ascii="Times New Roman" w:eastAsia="Times New Roman" w:hAnsi="Times New Roman" w:cs="Times New Roman"/>
          <w:sz w:val="24"/>
          <w:szCs w:val="24"/>
          <w:lang w:eastAsia="zh-CN"/>
        </w:rPr>
      </w:pPr>
    </w:p>
    <w:p w14:paraId="725F0A33" w14:textId="77777777" w:rsidR="005A4AFA" w:rsidRPr="00DF318A" w:rsidRDefault="005A4AFA" w:rsidP="00A73C75">
      <w:pPr>
        <w:pStyle w:val="FootnoteText"/>
        <w:rPr>
          <w:lang w:val="en-AU"/>
        </w:rPr>
      </w:pPr>
    </w:p>
  </w:footnote>
  <w:footnote w:id="3">
    <w:p w14:paraId="28992641" w14:textId="77777777" w:rsidR="005A4AFA" w:rsidRPr="00710603" w:rsidRDefault="005A4AFA" w:rsidP="009B5DFC">
      <w:pPr>
        <w:pStyle w:val="FootnoteText"/>
      </w:pPr>
      <w:r>
        <w:rPr>
          <w:rStyle w:val="FootnoteReference"/>
        </w:rPr>
        <w:footnoteRef/>
      </w:r>
      <w:r>
        <w:t xml:space="preserve"> </w:t>
      </w:r>
      <w:r w:rsidRPr="007C26FA">
        <w:t xml:space="preserve">Productivity Commission’, “Housing affordability inquiry”, page </w:t>
      </w:r>
      <w:r>
        <w:t>142</w:t>
      </w:r>
      <w:r w:rsidRPr="007C26FA">
        <w:t>.</w:t>
      </w:r>
      <w:r>
        <w:t xml:space="preserve"> </w:t>
      </w:r>
    </w:p>
  </w:footnote>
  <w:footnote w:id="4">
    <w:p w14:paraId="3DFC5E0E" w14:textId="0817C1D8" w:rsidR="005A4AFA" w:rsidRPr="001F4CAD" w:rsidRDefault="005A4AFA">
      <w:pPr>
        <w:pStyle w:val="FootnoteText"/>
      </w:pPr>
      <w:r>
        <w:rPr>
          <w:rStyle w:val="FootnoteReference"/>
        </w:rPr>
        <w:footnoteRef/>
      </w:r>
      <w:r>
        <w:t xml:space="preserve"> However for whichever reason, it does not currently seem available to find online.</w:t>
      </w:r>
    </w:p>
  </w:footnote>
  <w:footnote w:id="5">
    <w:p w14:paraId="5F9814D6" w14:textId="77777777" w:rsidR="005A4AFA" w:rsidRPr="00FE77F9" w:rsidRDefault="005A4AFA" w:rsidP="003F157C">
      <w:pPr>
        <w:pStyle w:val="FootnoteText"/>
      </w:pPr>
      <w:r>
        <w:rPr>
          <w:rStyle w:val="FootnoteReference"/>
        </w:rPr>
        <w:footnoteRef/>
      </w:r>
      <w:r>
        <w:t xml:space="preserve"> Also referred to as Dwelling unit equivalents (DUEs) and Dwelling equivalent units (DEUs).</w:t>
      </w:r>
    </w:p>
  </w:footnote>
  <w:footnote w:id="6">
    <w:p w14:paraId="0FD827E5" w14:textId="34FD2858" w:rsidR="005A4AFA" w:rsidRPr="000C68AE" w:rsidRDefault="005A4AFA" w:rsidP="006F01BB">
      <w:pPr>
        <w:pStyle w:val="FootnoteText"/>
      </w:pPr>
      <w:r>
        <w:rPr>
          <w:rStyle w:val="FootnoteReference"/>
        </w:rPr>
        <w:footnoteRef/>
      </w:r>
      <w:r>
        <w:t xml:space="preserve"> Local Government Act 2002, section 106 (2A).</w:t>
      </w:r>
    </w:p>
  </w:footnote>
  <w:footnote w:id="7">
    <w:p w14:paraId="624AFFFC" w14:textId="74312ED2" w:rsidR="005A4AFA" w:rsidRPr="0020073F" w:rsidRDefault="005A4AFA" w:rsidP="00DF318A">
      <w:pPr>
        <w:pStyle w:val="FootnoteText"/>
      </w:pPr>
      <w:r w:rsidRPr="007C26FA">
        <w:rPr>
          <w:rStyle w:val="FootnoteReference"/>
        </w:rPr>
        <w:footnoteRef/>
      </w:r>
      <w:r w:rsidRPr="007C26FA">
        <w:t xml:space="preserve"> Productivity Commission’, “Housing affordability inquiry”, page 269.</w:t>
      </w:r>
      <w:r>
        <w:t xml:space="preserve"> </w:t>
      </w:r>
    </w:p>
  </w:footnote>
  <w:footnote w:id="8">
    <w:p w14:paraId="724B4913" w14:textId="433F0E01" w:rsidR="005A4AFA" w:rsidRPr="00FC7CC7" w:rsidRDefault="005A4AFA" w:rsidP="00DF318A">
      <w:pPr>
        <w:pStyle w:val="FootnoteText"/>
      </w:pPr>
      <w:r>
        <w:rPr>
          <w:rStyle w:val="FootnoteReference"/>
        </w:rPr>
        <w:footnoteRef/>
      </w:r>
      <w:r>
        <w:t xml:space="preserve"> New Zealand Government, ‘Housing Affordability – Government response to the Productivity Commission’s Recommendations’, page 4.</w:t>
      </w:r>
    </w:p>
  </w:footnote>
  <w:footnote w:id="9">
    <w:p w14:paraId="67DB091D" w14:textId="77777777" w:rsidR="005A4AFA" w:rsidRPr="008608BD" w:rsidRDefault="005A4AFA" w:rsidP="009B6859">
      <w:pPr>
        <w:pStyle w:val="FootnoteText"/>
        <w:rPr>
          <w:lang w:val="en-AU"/>
        </w:rPr>
      </w:pPr>
      <w:r>
        <w:rPr>
          <w:rStyle w:val="FootnoteReference"/>
        </w:rPr>
        <w:footnoteRef/>
      </w:r>
      <w:r>
        <w:t xml:space="preserve"> Local Government Act 2002, Section 197AA.</w:t>
      </w:r>
    </w:p>
  </w:footnote>
  <w:footnote w:id="10">
    <w:p w14:paraId="728CF665" w14:textId="34256A4B" w:rsidR="005A4AFA" w:rsidRPr="00963A7F" w:rsidRDefault="005A4AFA" w:rsidP="00830713">
      <w:pPr>
        <w:pStyle w:val="FootnoteText"/>
        <w:jc w:val="left"/>
        <w:rPr>
          <w:lang w:val="en-AU"/>
        </w:rPr>
      </w:pPr>
      <w:r>
        <w:rPr>
          <w:rStyle w:val="FootnoteReference"/>
        </w:rPr>
        <w:footnoteRef/>
      </w:r>
      <w:r>
        <w:t xml:space="preserve"> </w:t>
      </w:r>
      <w:r>
        <w:rPr>
          <w:lang w:val="en-AU"/>
        </w:rPr>
        <w:t xml:space="preserve">DIA, ‘Better local government Fact sheet: Development contribution purpose and </w:t>
      </w:r>
      <w:r>
        <w:rPr>
          <w:lang w:val="en-AU"/>
        </w:rPr>
        <w:t xml:space="preserve">principles’. </w:t>
      </w:r>
      <w:hyperlink r:id="rId1" w:anchor="Development" w:history="1">
        <w:r w:rsidRPr="004C4DD0">
          <w:rPr>
            <w:rStyle w:val="Hyperlink"/>
            <w:lang w:val="en-AU"/>
          </w:rPr>
          <w:t>https://www.dia.govt.nz/Fact-sheets-for-2014-Act#Development</w:t>
        </w:r>
      </w:hyperlink>
      <w:r>
        <w:rPr>
          <w:lang w:val="en-AU"/>
        </w:rPr>
        <w:t xml:space="preserve"> </w:t>
      </w:r>
    </w:p>
  </w:footnote>
  <w:footnote w:id="11">
    <w:p w14:paraId="39F71CEC" w14:textId="14FDF710" w:rsidR="005A4AFA" w:rsidRPr="00FB7C39" w:rsidRDefault="005A4AFA" w:rsidP="009B5813">
      <w:pPr>
        <w:pStyle w:val="FootnoteText"/>
        <w:rPr>
          <w:lang w:val="en-AU"/>
        </w:rPr>
      </w:pPr>
      <w:r>
        <w:rPr>
          <w:rStyle w:val="FootnoteReference"/>
        </w:rPr>
        <w:footnoteRef/>
      </w:r>
      <w:r>
        <w:t xml:space="preserve"> </w:t>
      </w:r>
      <w:r>
        <w:rPr>
          <w:lang w:val="en-AU"/>
        </w:rPr>
        <w:t xml:space="preserve">DIA, “Development contributions review – discussion </w:t>
      </w:r>
      <w:r>
        <w:rPr>
          <w:lang w:val="en-AU"/>
        </w:rPr>
        <w:t xml:space="preserve">paper ”, 2013, page 17. </w:t>
      </w:r>
    </w:p>
  </w:footnote>
  <w:footnote w:id="12">
    <w:p w14:paraId="51655748" w14:textId="648AEF2D" w:rsidR="005A4AFA" w:rsidRPr="009E6751" w:rsidRDefault="005A4AFA">
      <w:pPr>
        <w:pStyle w:val="FootnoteText"/>
      </w:pPr>
      <w:r>
        <w:rPr>
          <w:rStyle w:val="FootnoteReference"/>
        </w:rPr>
        <w:footnoteRef/>
      </w:r>
      <w:r>
        <w:t xml:space="preserve"> Local Government Act, 2002, Amendment Act 2014, Section 197AA. </w:t>
      </w:r>
    </w:p>
  </w:footnote>
  <w:footnote w:id="13">
    <w:p w14:paraId="7146E624" w14:textId="330C2C2E" w:rsidR="005A4AFA" w:rsidRPr="000467C2" w:rsidRDefault="005A4AFA">
      <w:pPr>
        <w:pStyle w:val="FootnoteText"/>
        <w:rPr>
          <w:lang w:val="en-AU"/>
        </w:rPr>
      </w:pPr>
      <w:r>
        <w:rPr>
          <w:rStyle w:val="FootnoteReference"/>
        </w:rPr>
        <w:footnoteRef/>
      </w:r>
      <w:r>
        <w:t xml:space="preserve"> </w:t>
      </w:r>
      <w:r>
        <w:rPr>
          <w:lang w:val="en-AU"/>
        </w:rPr>
        <w:t>DIA, “Development Contributions Objections – Commissioners’ Manual”, August 2014, page 42.</w:t>
      </w:r>
    </w:p>
  </w:footnote>
  <w:footnote w:id="14">
    <w:p w14:paraId="57DF48C3" w14:textId="4A7D681B" w:rsidR="005A4AFA" w:rsidRPr="00ED3ABB" w:rsidRDefault="005A4AFA">
      <w:pPr>
        <w:pStyle w:val="FootnoteText"/>
      </w:pPr>
      <w:r>
        <w:rPr>
          <w:rStyle w:val="FootnoteReference"/>
        </w:rPr>
        <w:footnoteRef/>
      </w:r>
      <w:r>
        <w:t xml:space="preserve"> QLDC refer to Housing unit equivalents (</w:t>
      </w:r>
      <w:r>
        <w:t xml:space="preserve">HUEs)  as ‘dwelling unit equivalents’ (DUEs). We use the term HUE here for consistency. </w:t>
      </w:r>
    </w:p>
  </w:footnote>
  <w:footnote w:id="15">
    <w:p w14:paraId="2488D60C" w14:textId="0A26190F" w:rsidR="005A4AFA" w:rsidRPr="00717CD7" w:rsidRDefault="005A4AFA">
      <w:pPr>
        <w:pStyle w:val="FootnoteText"/>
        <w:rPr>
          <w:lang w:val="en-AU"/>
        </w:rPr>
      </w:pPr>
      <w:r>
        <w:rPr>
          <w:rStyle w:val="FootnoteReference"/>
        </w:rPr>
        <w:footnoteRef/>
      </w:r>
      <w:r>
        <w:t xml:space="preserve"> DIA, “Development Contributions Review”, 2011, page 10.</w:t>
      </w:r>
    </w:p>
  </w:footnote>
  <w:footnote w:id="16">
    <w:p w14:paraId="23912A20" w14:textId="009E4017" w:rsidR="005A4AFA" w:rsidRPr="00E70D07" w:rsidRDefault="005A4AFA">
      <w:pPr>
        <w:pStyle w:val="FootnoteText"/>
        <w:rPr>
          <w:lang w:val="en-US"/>
        </w:rPr>
      </w:pPr>
      <w:r>
        <w:rPr>
          <w:rStyle w:val="FootnoteReference"/>
        </w:rPr>
        <w:footnoteRef/>
      </w:r>
      <w:r>
        <w:t xml:space="preserve"> It is important to note that this discussion surrounds Auckland Council’s draft policies and that these are not finalised documents. </w:t>
      </w:r>
    </w:p>
  </w:footnote>
  <w:footnote w:id="17">
    <w:p w14:paraId="53252466" w14:textId="2DFFAAF8" w:rsidR="005A4AFA" w:rsidRPr="00B96709" w:rsidRDefault="005A4AFA" w:rsidP="003B57C0">
      <w:pPr>
        <w:pStyle w:val="FootnoteText"/>
        <w:rPr>
          <w:lang w:val="en-AU"/>
        </w:rPr>
      </w:pPr>
      <w:r>
        <w:rPr>
          <w:rStyle w:val="FootnoteReference"/>
        </w:rPr>
        <w:footnoteRef/>
      </w:r>
      <w:r>
        <w:t xml:space="preserve"> Local Government Act 2002,</w:t>
      </w:r>
      <w:r>
        <w:rPr>
          <w:lang w:val="en-AU"/>
        </w:rPr>
        <w:t xml:space="preserve"> Section 198.</w:t>
      </w:r>
    </w:p>
  </w:footnote>
  <w:footnote w:id="18">
    <w:p w14:paraId="3AB28B58" w14:textId="5A0EF23E" w:rsidR="005A4AFA" w:rsidRPr="00490709" w:rsidRDefault="005A4AFA">
      <w:pPr>
        <w:pStyle w:val="FootnoteText"/>
        <w:rPr>
          <w:lang w:val="en-AU"/>
        </w:rPr>
      </w:pPr>
      <w:r>
        <w:rPr>
          <w:rStyle w:val="FootnoteReference"/>
        </w:rPr>
        <w:footnoteRef/>
      </w:r>
      <w:r>
        <w:t xml:space="preserve"> </w:t>
      </w:r>
      <w:r>
        <w:rPr>
          <w:lang w:val="en-AU"/>
        </w:rPr>
        <w:t>Productivity Commission, ‘Housing Affordability Enquiry’, page 126.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88AEA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A4BC5"/>
    <w:multiLevelType w:val="hybridMultilevel"/>
    <w:tmpl w:val="0E6E0B56"/>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2" w15:restartNumberingAfterBreak="0">
    <w:nsid w:val="0ADB1842"/>
    <w:multiLevelType w:val="hybridMultilevel"/>
    <w:tmpl w:val="C16CE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F50FE"/>
    <w:multiLevelType w:val="hybridMultilevel"/>
    <w:tmpl w:val="935E0310"/>
    <w:lvl w:ilvl="0" w:tplc="F37A4368">
      <w:start w:val="1"/>
      <w:numFmt w:val="decimal"/>
      <w:pStyle w:val="Briefingtext"/>
      <w:lvlText w:val="%1."/>
      <w:lvlJc w:val="left"/>
      <w:pPr>
        <w:tabs>
          <w:tab w:val="num" w:pos="720"/>
        </w:tabs>
        <w:ind w:left="72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C3256C"/>
    <w:multiLevelType w:val="hybridMultilevel"/>
    <w:tmpl w:val="8E2C9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8149E"/>
    <w:multiLevelType w:val="hybridMultilevel"/>
    <w:tmpl w:val="64BAB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A5F3C"/>
    <w:multiLevelType w:val="hybridMultilevel"/>
    <w:tmpl w:val="73DAF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C2128"/>
    <w:multiLevelType w:val="hybridMultilevel"/>
    <w:tmpl w:val="434C2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43A4B"/>
    <w:multiLevelType w:val="multilevel"/>
    <w:tmpl w:val="CF9ACF38"/>
    <w:styleLink w:val="NZIERBullet1List"/>
    <w:lvl w:ilvl="0">
      <w:start w:val="1"/>
      <w:numFmt w:val="bullet"/>
      <w:lvlText w:val=""/>
      <w:lvlJc w:val="left"/>
      <w:pPr>
        <w:tabs>
          <w:tab w:val="num" w:pos="851"/>
        </w:tabs>
        <w:ind w:left="851" w:hanging="426"/>
      </w:pPr>
      <w:rPr>
        <w:rFonts w:ascii="Symbol" w:hAnsi="Symbol" w:hint="default"/>
        <w:color w:val="auto"/>
      </w:rPr>
    </w:lvl>
    <w:lvl w:ilvl="1">
      <w:start w:val="1"/>
      <w:numFmt w:val="bullet"/>
      <w:lvlText w:val=""/>
      <w:lvlJc w:val="left"/>
      <w:pPr>
        <w:tabs>
          <w:tab w:val="num" w:pos="1276"/>
        </w:tabs>
        <w:ind w:left="1276" w:hanging="425"/>
      </w:pPr>
      <w:rPr>
        <w:rFonts w:ascii="Symbol" w:hAnsi="Symbol" w:hint="default"/>
        <w:color w:val="auto"/>
      </w:rPr>
    </w:lvl>
    <w:lvl w:ilvl="2">
      <w:start w:val="1"/>
      <w:numFmt w:val="bullet"/>
      <w:lvlText w:val=""/>
      <w:lvlJc w:val="left"/>
      <w:pPr>
        <w:tabs>
          <w:tab w:val="num" w:pos="1701"/>
        </w:tabs>
        <w:ind w:left="1701" w:hanging="425"/>
      </w:pPr>
      <w:rPr>
        <w:rFonts w:ascii="Symbol" w:hAnsi="Symbol" w:hint="default"/>
        <w:color w:val="auto"/>
      </w:rPr>
    </w:lvl>
    <w:lvl w:ilvl="3">
      <w:start w:val="1"/>
      <w:numFmt w:val="none"/>
      <w:lvlText w:val=""/>
      <w:lvlJc w:val="left"/>
      <w:pPr>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9" w15:restartNumberingAfterBreak="0">
    <w:nsid w:val="17A11DA9"/>
    <w:multiLevelType w:val="hybridMultilevel"/>
    <w:tmpl w:val="38E62DA0"/>
    <w:lvl w:ilvl="0" w:tplc="04090001">
      <w:start w:val="1"/>
      <w:numFmt w:val="bullet"/>
      <w:lvlText w:val=""/>
      <w:lvlJc w:val="left"/>
      <w:pPr>
        <w:ind w:left="52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0" w15:restartNumberingAfterBreak="0">
    <w:nsid w:val="194F290B"/>
    <w:multiLevelType w:val="hybridMultilevel"/>
    <w:tmpl w:val="A92CA07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1B802A67"/>
    <w:multiLevelType w:val="hybridMultilevel"/>
    <w:tmpl w:val="B3A8A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73A06"/>
    <w:multiLevelType w:val="multilevel"/>
    <w:tmpl w:val="594AC9C0"/>
    <w:lvl w:ilvl="0">
      <w:start w:val="1"/>
      <w:numFmt w:val="decimal"/>
      <w:lvlText w:val="%1."/>
      <w:lvlJc w:val="left"/>
      <w:pPr>
        <w:tabs>
          <w:tab w:val="num" w:pos="284"/>
        </w:tabs>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4" w:hanging="794"/>
      </w:pPr>
      <w:rPr>
        <w:rFonts w:ascii="Open Sans Semibold" w:hAnsi="Open Sans Semibold" w:hint="default"/>
        <w:b/>
        <w:bCs/>
        <w:i w:val="0"/>
        <w:iCs w:val="0"/>
        <w:color w:val="243A7E"/>
        <w:sz w:val="26"/>
      </w:rPr>
    </w:lvl>
    <w:lvl w:ilvl="2">
      <w:start w:val="1"/>
      <w:numFmt w:val="decimal"/>
      <w:lvlText w:val="%1.%2.%3"/>
      <w:lvlJc w:val="left"/>
      <w:pPr>
        <w:ind w:left="794" w:hanging="794"/>
      </w:pPr>
      <w:rPr>
        <w:rFonts w:ascii="Open Sans Semibold" w:hAnsi="Open Sans Semibold" w:hint="default"/>
        <w:b/>
        <w:bCs/>
        <w:i/>
        <w:iCs/>
        <w:color w:val="000000" w:themeColor="text1"/>
        <w:sz w:val="20"/>
        <w:szCs w:val="20"/>
      </w:rPr>
    </w:lvl>
    <w:lvl w:ilvl="3">
      <w:start w:val="1"/>
      <w:numFmt w:val="decimal"/>
      <w:pStyle w:val="Heading4"/>
      <w:lvlText w:val="%1.%2.%3.%4"/>
      <w:lvlJc w:val="left"/>
      <w:pPr>
        <w:ind w:left="794" w:hanging="79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1D23369"/>
    <w:multiLevelType w:val="hybridMultilevel"/>
    <w:tmpl w:val="2604E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F13D3"/>
    <w:multiLevelType w:val="hybridMultilevel"/>
    <w:tmpl w:val="803A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947CE"/>
    <w:multiLevelType w:val="hybridMultilevel"/>
    <w:tmpl w:val="D7EE6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5E251D"/>
    <w:multiLevelType w:val="hybridMultilevel"/>
    <w:tmpl w:val="E696A5A6"/>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7" w15:restartNumberingAfterBreak="0">
    <w:nsid w:val="2EC5033B"/>
    <w:multiLevelType w:val="hybridMultilevel"/>
    <w:tmpl w:val="3E8E3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897FCD"/>
    <w:multiLevelType w:val="hybridMultilevel"/>
    <w:tmpl w:val="F8E4CCFA"/>
    <w:lvl w:ilvl="0" w:tplc="41C23336">
      <w:start w:val="1"/>
      <w:numFmt w:val="bullet"/>
      <w:pStyle w:val="BulletedList"/>
      <w:lvlText w:val=""/>
      <w:lvlJc w:val="left"/>
      <w:pPr>
        <w:ind w:left="720" w:hanging="360"/>
      </w:pPr>
      <w:rPr>
        <w:rFonts w:ascii="Symbol" w:hAnsi="Symbol" w:hint="default"/>
      </w:rPr>
    </w:lvl>
    <w:lvl w:ilvl="1" w:tplc="14090003">
      <w:start w:val="1"/>
      <w:numFmt w:val="bullet"/>
      <w:pStyle w:val="Bullet2ndlevel"/>
      <w:lvlText w:val="o"/>
      <w:lvlJc w:val="left"/>
      <w:pPr>
        <w:ind w:left="1440" w:hanging="360"/>
      </w:pPr>
      <w:rPr>
        <w:rFonts w:ascii="Courier New" w:hAnsi="Courier New" w:cs="Courier New" w:hint="default"/>
      </w:rPr>
    </w:lvl>
    <w:lvl w:ilvl="2" w:tplc="14090005" w:tentative="1">
      <w:start w:val="1"/>
      <w:numFmt w:val="bullet"/>
      <w:pStyle w:val="Bullet3rdlevel"/>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3514C5F"/>
    <w:multiLevelType w:val="multilevel"/>
    <w:tmpl w:val="2EC6E3E4"/>
    <w:lvl w:ilvl="0">
      <w:start w:val="1"/>
      <w:numFmt w:val="decimal"/>
      <w:pStyle w:val="zTableNotes"/>
      <w:lvlText w:val="%1."/>
      <w:lvlJc w:val="left"/>
      <w:pPr>
        <w:tabs>
          <w:tab w:val="num" w:pos="284"/>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486935E6"/>
    <w:multiLevelType w:val="hybridMultilevel"/>
    <w:tmpl w:val="1090B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6125DF"/>
    <w:multiLevelType w:val="hybridMultilevel"/>
    <w:tmpl w:val="3262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C67E00"/>
    <w:multiLevelType w:val="multilevel"/>
    <w:tmpl w:val="45D0A8AE"/>
    <w:lvl w:ilvl="0">
      <w:start w:val="1"/>
      <w:numFmt w:val="decimal"/>
      <w:pStyle w:val="Heading1"/>
      <w:lvlText w:val="%1."/>
      <w:lvlJc w:val="left"/>
      <w:pPr>
        <w:tabs>
          <w:tab w:val="num" w:pos="284"/>
        </w:tabs>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Heading2"/>
      <w:lvlText w:val="%1.%2"/>
      <w:lvlJc w:val="left"/>
      <w:pPr>
        <w:ind w:left="794" w:hanging="794"/>
      </w:pPr>
      <w:rPr>
        <w:rFonts w:ascii="Open Sans Semibold" w:hAnsi="Open Sans Semibold" w:hint="default"/>
        <w:b/>
        <w:bCs/>
        <w:i w:val="0"/>
        <w:iCs w:val="0"/>
        <w:color w:val="243A7E"/>
        <w:sz w:val="24"/>
        <w:szCs w:val="24"/>
      </w:rPr>
    </w:lvl>
    <w:lvl w:ilvl="2">
      <w:start w:val="1"/>
      <w:numFmt w:val="decimal"/>
      <w:pStyle w:val="Heading3"/>
      <w:lvlText w:val="%1.%2.%3"/>
      <w:lvlJc w:val="left"/>
      <w:pPr>
        <w:ind w:left="794" w:hanging="794"/>
      </w:pPr>
      <w:rPr>
        <w:rFonts w:ascii="Open Sans Semibold" w:hAnsi="Open Sans Semibold" w:hint="default"/>
        <w:b/>
        <w:bCs/>
        <w:i/>
        <w:iCs/>
        <w:color w:val="000000" w:themeColor="text1"/>
        <w:sz w:val="20"/>
        <w:szCs w:val="20"/>
      </w:rPr>
    </w:lvl>
    <w:lvl w:ilvl="3">
      <w:start w:val="1"/>
      <w:numFmt w:val="decimal"/>
      <w:lvlText w:val="%1.%2.%3.%4"/>
      <w:lvlJc w:val="left"/>
      <w:pPr>
        <w:ind w:left="794" w:hanging="79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37201F8"/>
    <w:multiLevelType w:val="multilevel"/>
    <w:tmpl w:val="7D989C12"/>
    <w:lvl w:ilvl="0">
      <w:start w:val="1"/>
      <w:numFmt w:val="decimal"/>
      <w:pStyle w:val="Outline2"/>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lowerLetter"/>
      <w:pStyle w:val="Outlinelevela"/>
      <w:lvlText w:val="%4)"/>
      <w:lvlJc w:val="left"/>
      <w:pPr>
        <w:tabs>
          <w:tab w:val="num" w:pos="1276"/>
        </w:tabs>
        <w:ind w:left="1276" w:hanging="425"/>
      </w:pPr>
      <w:rPr>
        <w:rFonts w:hint="default"/>
      </w:rPr>
    </w:lvl>
    <w:lvl w:ilvl="4">
      <w:start w:val="1"/>
      <w:numFmt w:val="lowerRoman"/>
      <w:pStyle w:val="Outlineleveli"/>
      <w:lvlText w:val="%5"/>
      <w:lvlJc w:val="left"/>
      <w:pPr>
        <w:tabs>
          <w:tab w:val="num" w:pos="1276"/>
        </w:tabs>
        <w:ind w:left="1276" w:hanging="425"/>
      </w:pPr>
      <w:rPr>
        <w:rFonts w:hint="default"/>
      </w:rPr>
    </w:lvl>
    <w:lvl w:ilvl="5">
      <w:start w:val="1"/>
      <w:numFmt w:val="decimal"/>
      <w:pStyle w:val="Outlinelevel1"/>
      <w:lvlText w:val="%6"/>
      <w:lvlJc w:val="left"/>
      <w:pPr>
        <w:tabs>
          <w:tab w:val="num" w:pos="1276"/>
        </w:tabs>
        <w:ind w:left="1276" w:hanging="425"/>
      </w:pPr>
      <w:rPr>
        <w:rFonts w:hint="default"/>
      </w:rPr>
    </w:lvl>
    <w:lvl w:ilvl="6">
      <w:start w:val="1"/>
      <w:numFmt w:val="bullet"/>
      <w:pStyle w:val="Outlinelevelbullet"/>
      <w:lvlText w:val=""/>
      <w:lvlJc w:val="left"/>
      <w:pPr>
        <w:tabs>
          <w:tab w:val="num" w:pos="1701"/>
        </w:tabs>
        <w:ind w:left="1701" w:hanging="425"/>
      </w:pPr>
      <w:rPr>
        <w:rFonts w:ascii="Symbol" w:hAnsi="Symbol" w:hint="default"/>
      </w:rPr>
    </w:lvl>
    <w:lvl w:ilvl="7">
      <w:start w:val="1"/>
      <w:numFmt w:val="bullet"/>
      <w:pStyle w:val="Outlineleveldash"/>
      <w:lvlText w:val="−"/>
      <w:lvlJc w:val="left"/>
      <w:pPr>
        <w:tabs>
          <w:tab w:val="num" w:pos="2126"/>
        </w:tabs>
        <w:ind w:left="2126" w:hanging="425"/>
      </w:pPr>
      <w:rPr>
        <w:rFonts w:ascii="Arial" w:hAnsi="Arial" w:hint="default"/>
      </w:rPr>
    </w:lvl>
    <w:lvl w:ilvl="8">
      <w:start w:val="1"/>
      <w:numFmt w:val="none"/>
      <w:lvlText w:val=""/>
      <w:lvlJc w:val="left"/>
      <w:pPr>
        <w:tabs>
          <w:tab w:val="num" w:pos="0"/>
        </w:tabs>
        <w:ind w:left="0" w:firstLine="0"/>
      </w:pPr>
      <w:rPr>
        <w:rFonts w:hint="default"/>
      </w:rPr>
    </w:lvl>
  </w:abstractNum>
  <w:abstractNum w:abstractNumId="24" w15:restartNumberingAfterBreak="0">
    <w:nsid w:val="58546162"/>
    <w:multiLevelType w:val="hybridMultilevel"/>
    <w:tmpl w:val="F6966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C829EC"/>
    <w:multiLevelType w:val="hybridMultilevel"/>
    <w:tmpl w:val="E7184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906FF1"/>
    <w:multiLevelType w:val="hybridMultilevel"/>
    <w:tmpl w:val="6B68E4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303AC8"/>
    <w:multiLevelType w:val="multilevel"/>
    <w:tmpl w:val="54C44D48"/>
    <w:lvl w:ilvl="0">
      <w:start w:val="1"/>
      <w:numFmt w:val="decimal"/>
      <w:pStyle w:val="Outlinenumb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247"/>
        </w:tabs>
        <w:ind w:left="1247" w:hanging="453"/>
      </w:pPr>
      <w:rPr>
        <w:rFonts w:hint="default"/>
      </w:rPr>
    </w:lvl>
    <w:lvl w:ilvl="3">
      <w:start w:val="1"/>
      <w:numFmt w:val="none"/>
      <w:suff w:val="nothing"/>
      <w:lvlText w:val=""/>
      <w:lvlJc w:val="left"/>
      <w:pPr>
        <w:ind w:left="1247" w:firstLine="0"/>
      </w:pPr>
      <w:rPr>
        <w:rFonts w:hint="default"/>
      </w:rPr>
    </w:lvl>
    <w:lvl w:ilvl="4">
      <w:start w:val="1"/>
      <w:numFmt w:val="none"/>
      <w:suff w:val="nothing"/>
      <w:lvlText w:val=""/>
      <w:lvlJc w:val="left"/>
      <w:pPr>
        <w:ind w:left="1247"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28" w15:restartNumberingAfterBreak="0">
    <w:nsid w:val="632C4BC2"/>
    <w:multiLevelType w:val="hybridMultilevel"/>
    <w:tmpl w:val="0862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D85915"/>
    <w:multiLevelType w:val="hybridMultilevel"/>
    <w:tmpl w:val="D7CE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A97D45"/>
    <w:multiLevelType w:val="hybridMultilevel"/>
    <w:tmpl w:val="3D648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1B150A"/>
    <w:multiLevelType w:val="hybridMultilevel"/>
    <w:tmpl w:val="85CA0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8"/>
  </w:num>
  <w:num w:numId="4">
    <w:abstractNumId w:val="27"/>
  </w:num>
  <w:num w:numId="5">
    <w:abstractNumId w:val="0"/>
  </w:num>
  <w:num w:numId="6">
    <w:abstractNumId w:val="23"/>
  </w:num>
  <w:num w:numId="7">
    <w:abstractNumId w:val="18"/>
  </w:num>
  <w:num w:numId="8">
    <w:abstractNumId w:val="22"/>
  </w:num>
  <w:num w:numId="9">
    <w:abstractNumId w:val="15"/>
  </w:num>
  <w:num w:numId="10">
    <w:abstractNumId w:val="3"/>
  </w:num>
  <w:num w:numId="11">
    <w:abstractNumId w:val="10"/>
  </w:num>
  <w:num w:numId="12">
    <w:abstractNumId w:val="26"/>
  </w:num>
  <w:num w:numId="13">
    <w:abstractNumId w:val="14"/>
  </w:num>
  <w:num w:numId="14">
    <w:abstractNumId w:val="6"/>
  </w:num>
  <w:num w:numId="15">
    <w:abstractNumId w:val="30"/>
  </w:num>
  <w:num w:numId="16">
    <w:abstractNumId w:val="4"/>
  </w:num>
  <w:num w:numId="17">
    <w:abstractNumId w:val="28"/>
  </w:num>
  <w:num w:numId="18">
    <w:abstractNumId w:val="17"/>
  </w:num>
  <w:num w:numId="19">
    <w:abstractNumId w:val="21"/>
  </w:num>
  <w:num w:numId="20">
    <w:abstractNumId w:val="25"/>
  </w:num>
  <w:num w:numId="21">
    <w:abstractNumId w:val="13"/>
  </w:num>
  <w:num w:numId="22">
    <w:abstractNumId w:val="31"/>
  </w:num>
  <w:num w:numId="23">
    <w:abstractNumId w:val="16"/>
  </w:num>
  <w:num w:numId="24">
    <w:abstractNumId w:val="20"/>
  </w:num>
  <w:num w:numId="25">
    <w:abstractNumId w:val="2"/>
  </w:num>
  <w:num w:numId="26">
    <w:abstractNumId w:val="29"/>
  </w:num>
  <w:num w:numId="27">
    <w:abstractNumId w:val="7"/>
  </w:num>
  <w:num w:numId="28">
    <w:abstractNumId w:val="11"/>
  </w:num>
  <w:num w:numId="29">
    <w:abstractNumId w:val="24"/>
  </w:num>
  <w:num w:numId="30">
    <w:abstractNumId w:val="1"/>
  </w:num>
  <w:num w:numId="31">
    <w:abstractNumId w:val="9"/>
  </w:num>
  <w:num w:numId="32">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43C"/>
    <w:rsid w:val="00000219"/>
    <w:rsid w:val="00000298"/>
    <w:rsid w:val="0000041C"/>
    <w:rsid w:val="00000B52"/>
    <w:rsid w:val="00000BF9"/>
    <w:rsid w:val="00000C19"/>
    <w:rsid w:val="00000C29"/>
    <w:rsid w:val="000012EA"/>
    <w:rsid w:val="000013D3"/>
    <w:rsid w:val="000015C0"/>
    <w:rsid w:val="00001A0C"/>
    <w:rsid w:val="00001AEC"/>
    <w:rsid w:val="00001C5C"/>
    <w:rsid w:val="000021D5"/>
    <w:rsid w:val="00002220"/>
    <w:rsid w:val="0000272C"/>
    <w:rsid w:val="00002D2B"/>
    <w:rsid w:val="00003E3D"/>
    <w:rsid w:val="00004ABA"/>
    <w:rsid w:val="00004B12"/>
    <w:rsid w:val="00004D9B"/>
    <w:rsid w:val="00005EB7"/>
    <w:rsid w:val="0000611E"/>
    <w:rsid w:val="0000712A"/>
    <w:rsid w:val="0000761B"/>
    <w:rsid w:val="00007715"/>
    <w:rsid w:val="00007EF3"/>
    <w:rsid w:val="0001038C"/>
    <w:rsid w:val="00011B89"/>
    <w:rsid w:val="00011FCC"/>
    <w:rsid w:val="00012142"/>
    <w:rsid w:val="0001250A"/>
    <w:rsid w:val="000129DA"/>
    <w:rsid w:val="00013529"/>
    <w:rsid w:val="00013793"/>
    <w:rsid w:val="0001387D"/>
    <w:rsid w:val="00014553"/>
    <w:rsid w:val="0001535C"/>
    <w:rsid w:val="0001566A"/>
    <w:rsid w:val="0001604F"/>
    <w:rsid w:val="00016F40"/>
    <w:rsid w:val="0001764D"/>
    <w:rsid w:val="00017712"/>
    <w:rsid w:val="000177BE"/>
    <w:rsid w:val="000177DD"/>
    <w:rsid w:val="00017831"/>
    <w:rsid w:val="00017892"/>
    <w:rsid w:val="00017E04"/>
    <w:rsid w:val="00020490"/>
    <w:rsid w:val="00021289"/>
    <w:rsid w:val="00021B2B"/>
    <w:rsid w:val="000220BC"/>
    <w:rsid w:val="0002247B"/>
    <w:rsid w:val="00022F7A"/>
    <w:rsid w:val="0002320E"/>
    <w:rsid w:val="0002322D"/>
    <w:rsid w:val="000232C3"/>
    <w:rsid w:val="0002348E"/>
    <w:rsid w:val="00023B67"/>
    <w:rsid w:val="00023BDD"/>
    <w:rsid w:val="00023CA0"/>
    <w:rsid w:val="0002517C"/>
    <w:rsid w:val="00025433"/>
    <w:rsid w:val="00026E1D"/>
    <w:rsid w:val="00027EC5"/>
    <w:rsid w:val="00030465"/>
    <w:rsid w:val="00030DD6"/>
    <w:rsid w:val="0003108C"/>
    <w:rsid w:val="00031780"/>
    <w:rsid w:val="00031CF5"/>
    <w:rsid w:val="000321E6"/>
    <w:rsid w:val="000322D2"/>
    <w:rsid w:val="0003260F"/>
    <w:rsid w:val="000326B0"/>
    <w:rsid w:val="00033D06"/>
    <w:rsid w:val="000343B6"/>
    <w:rsid w:val="00034748"/>
    <w:rsid w:val="00036DD4"/>
    <w:rsid w:val="000401AF"/>
    <w:rsid w:val="0004092F"/>
    <w:rsid w:val="00040CE1"/>
    <w:rsid w:val="00040FC7"/>
    <w:rsid w:val="00041028"/>
    <w:rsid w:val="000410E7"/>
    <w:rsid w:val="00041100"/>
    <w:rsid w:val="00041D14"/>
    <w:rsid w:val="00041D36"/>
    <w:rsid w:val="00042310"/>
    <w:rsid w:val="00042805"/>
    <w:rsid w:val="00042AFA"/>
    <w:rsid w:val="00042F7C"/>
    <w:rsid w:val="000432E1"/>
    <w:rsid w:val="00043987"/>
    <w:rsid w:val="00043E45"/>
    <w:rsid w:val="00046418"/>
    <w:rsid w:val="000467C2"/>
    <w:rsid w:val="000468F0"/>
    <w:rsid w:val="00046B98"/>
    <w:rsid w:val="00046C55"/>
    <w:rsid w:val="00047E73"/>
    <w:rsid w:val="0005049B"/>
    <w:rsid w:val="00050B80"/>
    <w:rsid w:val="00052480"/>
    <w:rsid w:val="00052A82"/>
    <w:rsid w:val="00053846"/>
    <w:rsid w:val="00053D9B"/>
    <w:rsid w:val="00054184"/>
    <w:rsid w:val="000543BB"/>
    <w:rsid w:val="00054660"/>
    <w:rsid w:val="00054F62"/>
    <w:rsid w:val="000552BD"/>
    <w:rsid w:val="000553C0"/>
    <w:rsid w:val="00055478"/>
    <w:rsid w:val="00055A4D"/>
    <w:rsid w:val="00056432"/>
    <w:rsid w:val="000567B2"/>
    <w:rsid w:val="00056EC6"/>
    <w:rsid w:val="0005712B"/>
    <w:rsid w:val="00060AD1"/>
    <w:rsid w:val="00060C87"/>
    <w:rsid w:val="00061148"/>
    <w:rsid w:val="00061DA2"/>
    <w:rsid w:val="000626D8"/>
    <w:rsid w:val="00062B2F"/>
    <w:rsid w:val="00062E53"/>
    <w:rsid w:val="00067F31"/>
    <w:rsid w:val="000700B3"/>
    <w:rsid w:val="0007019F"/>
    <w:rsid w:val="000706D8"/>
    <w:rsid w:val="00070C00"/>
    <w:rsid w:val="00071061"/>
    <w:rsid w:val="0007187F"/>
    <w:rsid w:val="00072169"/>
    <w:rsid w:val="000733DF"/>
    <w:rsid w:val="00074421"/>
    <w:rsid w:val="00074956"/>
    <w:rsid w:val="000753DF"/>
    <w:rsid w:val="000754E3"/>
    <w:rsid w:val="000758F7"/>
    <w:rsid w:val="00075AA9"/>
    <w:rsid w:val="00076563"/>
    <w:rsid w:val="000768CE"/>
    <w:rsid w:val="00076ADD"/>
    <w:rsid w:val="0007738C"/>
    <w:rsid w:val="00077595"/>
    <w:rsid w:val="0007776C"/>
    <w:rsid w:val="000777F5"/>
    <w:rsid w:val="00077862"/>
    <w:rsid w:val="00077F99"/>
    <w:rsid w:val="000800CD"/>
    <w:rsid w:val="0008010C"/>
    <w:rsid w:val="00080752"/>
    <w:rsid w:val="000808F5"/>
    <w:rsid w:val="00080B7F"/>
    <w:rsid w:val="00081DC4"/>
    <w:rsid w:val="00082326"/>
    <w:rsid w:val="00082619"/>
    <w:rsid w:val="00082E00"/>
    <w:rsid w:val="00082F9A"/>
    <w:rsid w:val="000830EF"/>
    <w:rsid w:val="00083183"/>
    <w:rsid w:val="00083492"/>
    <w:rsid w:val="0008354C"/>
    <w:rsid w:val="000837C6"/>
    <w:rsid w:val="00083DFA"/>
    <w:rsid w:val="00083EB4"/>
    <w:rsid w:val="000843F8"/>
    <w:rsid w:val="00084688"/>
    <w:rsid w:val="00084762"/>
    <w:rsid w:val="00084F20"/>
    <w:rsid w:val="00085240"/>
    <w:rsid w:val="00085889"/>
    <w:rsid w:val="00085A45"/>
    <w:rsid w:val="00086EEC"/>
    <w:rsid w:val="000878E2"/>
    <w:rsid w:val="00087ACA"/>
    <w:rsid w:val="00087F70"/>
    <w:rsid w:val="000905C4"/>
    <w:rsid w:val="00090FCF"/>
    <w:rsid w:val="0009282C"/>
    <w:rsid w:val="00092866"/>
    <w:rsid w:val="00092E09"/>
    <w:rsid w:val="0009306B"/>
    <w:rsid w:val="0009342B"/>
    <w:rsid w:val="00093A9D"/>
    <w:rsid w:val="000949A8"/>
    <w:rsid w:val="00095B55"/>
    <w:rsid w:val="00096484"/>
    <w:rsid w:val="00096C47"/>
    <w:rsid w:val="00097C2E"/>
    <w:rsid w:val="000A02F5"/>
    <w:rsid w:val="000A0BD0"/>
    <w:rsid w:val="000A0EC5"/>
    <w:rsid w:val="000A1F56"/>
    <w:rsid w:val="000A247D"/>
    <w:rsid w:val="000A29CF"/>
    <w:rsid w:val="000A3CD3"/>
    <w:rsid w:val="000A3EAC"/>
    <w:rsid w:val="000A3F89"/>
    <w:rsid w:val="000A4225"/>
    <w:rsid w:val="000A4D01"/>
    <w:rsid w:val="000A52BF"/>
    <w:rsid w:val="000A53D2"/>
    <w:rsid w:val="000A575C"/>
    <w:rsid w:val="000A6CAE"/>
    <w:rsid w:val="000A71E2"/>
    <w:rsid w:val="000A7FC4"/>
    <w:rsid w:val="000B0834"/>
    <w:rsid w:val="000B0D13"/>
    <w:rsid w:val="000B118E"/>
    <w:rsid w:val="000B125F"/>
    <w:rsid w:val="000B14DA"/>
    <w:rsid w:val="000B1630"/>
    <w:rsid w:val="000B1C81"/>
    <w:rsid w:val="000B1E8F"/>
    <w:rsid w:val="000B2027"/>
    <w:rsid w:val="000B2E9A"/>
    <w:rsid w:val="000B4072"/>
    <w:rsid w:val="000B4B93"/>
    <w:rsid w:val="000B605F"/>
    <w:rsid w:val="000B6540"/>
    <w:rsid w:val="000B6739"/>
    <w:rsid w:val="000B6B41"/>
    <w:rsid w:val="000B7181"/>
    <w:rsid w:val="000B7297"/>
    <w:rsid w:val="000B761B"/>
    <w:rsid w:val="000C01CB"/>
    <w:rsid w:val="000C0D6C"/>
    <w:rsid w:val="000C0F95"/>
    <w:rsid w:val="000C1437"/>
    <w:rsid w:val="000C1787"/>
    <w:rsid w:val="000C1E6F"/>
    <w:rsid w:val="000C1F8A"/>
    <w:rsid w:val="000C21FF"/>
    <w:rsid w:val="000C3334"/>
    <w:rsid w:val="000C3493"/>
    <w:rsid w:val="000C3D97"/>
    <w:rsid w:val="000C4397"/>
    <w:rsid w:val="000C48F0"/>
    <w:rsid w:val="000C4C1A"/>
    <w:rsid w:val="000C5323"/>
    <w:rsid w:val="000C5818"/>
    <w:rsid w:val="000C58C4"/>
    <w:rsid w:val="000C5C26"/>
    <w:rsid w:val="000C5DD7"/>
    <w:rsid w:val="000C5EB8"/>
    <w:rsid w:val="000C6CD6"/>
    <w:rsid w:val="000C6E05"/>
    <w:rsid w:val="000C7371"/>
    <w:rsid w:val="000C77A1"/>
    <w:rsid w:val="000C7F06"/>
    <w:rsid w:val="000D0301"/>
    <w:rsid w:val="000D051B"/>
    <w:rsid w:val="000D073A"/>
    <w:rsid w:val="000D0BDD"/>
    <w:rsid w:val="000D0FBF"/>
    <w:rsid w:val="000D1DEE"/>
    <w:rsid w:val="000D1E8C"/>
    <w:rsid w:val="000D20F7"/>
    <w:rsid w:val="000D29C5"/>
    <w:rsid w:val="000D2A2F"/>
    <w:rsid w:val="000D2D2E"/>
    <w:rsid w:val="000D342C"/>
    <w:rsid w:val="000D4306"/>
    <w:rsid w:val="000D48A4"/>
    <w:rsid w:val="000D4964"/>
    <w:rsid w:val="000D531C"/>
    <w:rsid w:val="000D5736"/>
    <w:rsid w:val="000D5856"/>
    <w:rsid w:val="000D71CB"/>
    <w:rsid w:val="000D7747"/>
    <w:rsid w:val="000E0787"/>
    <w:rsid w:val="000E0A76"/>
    <w:rsid w:val="000E1011"/>
    <w:rsid w:val="000E194A"/>
    <w:rsid w:val="000E204B"/>
    <w:rsid w:val="000E212A"/>
    <w:rsid w:val="000E2CCD"/>
    <w:rsid w:val="000E330D"/>
    <w:rsid w:val="000E37FC"/>
    <w:rsid w:val="000E43A9"/>
    <w:rsid w:val="000E4C3D"/>
    <w:rsid w:val="000E4F78"/>
    <w:rsid w:val="000E504E"/>
    <w:rsid w:val="000E5842"/>
    <w:rsid w:val="000E6609"/>
    <w:rsid w:val="000E7A29"/>
    <w:rsid w:val="000E7C32"/>
    <w:rsid w:val="000E7C3F"/>
    <w:rsid w:val="000E7CAE"/>
    <w:rsid w:val="000F1E32"/>
    <w:rsid w:val="000F226E"/>
    <w:rsid w:val="000F3184"/>
    <w:rsid w:val="000F3540"/>
    <w:rsid w:val="000F3C40"/>
    <w:rsid w:val="000F3F1E"/>
    <w:rsid w:val="000F4058"/>
    <w:rsid w:val="000F423F"/>
    <w:rsid w:val="000F46FB"/>
    <w:rsid w:val="000F4A5F"/>
    <w:rsid w:val="000F4AC8"/>
    <w:rsid w:val="000F5277"/>
    <w:rsid w:val="000F5353"/>
    <w:rsid w:val="000F64AE"/>
    <w:rsid w:val="000F694D"/>
    <w:rsid w:val="000F6A89"/>
    <w:rsid w:val="000F7530"/>
    <w:rsid w:val="000F7735"/>
    <w:rsid w:val="000F7794"/>
    <w:rsid w:val="000F7C2A"/>
    <w:rsid w:val="001005D4"/>
    <w:rsid w:val="001009AE"/>
    <w:rsid w:val="00100B61"/>
    <w:rsid w:val="00100ED9"/>
    <w:rsid w:val="001012CC"/>
    <w:rsid w:val="00101418"/>
    <w:rsid w:val="001017B2"/>
    <w:rsid w:val="00101C4A"/>
    <w:rsid w:val="00102B1A"/>
    <w:rsid w:val="0010500C"/>
    <w:rsid w:val="001056BC"/>
    <w:rsid w:val="0010594D"/>
    <w:rsid w:val="00105C6C"/>
    <w:rsid w:val="00105F73"/>
    <w:rsid w:val="00105F86"/>
    <w:rsid w:val="0010719F"/>
    <w:rsid w:val="001071DA"/>
    <w:rsid w:val="001077B7"/>
    <w:rsid w:val="0011003C"/>
    <w:rsid w:val="0011051C"/>
    <w:rsid w:val="00110A87"/>
    <w:rsid w:val="00110FF5"/>
    <w:rsid w:val="00111143"/>
    <w:rsid w:val="00111F96"/>
    <w:rsid w:val="0011287F"/>
    <w:rsid w:val="0011288E"/>
    <w:rsid w:val="00112AE4"/>
    <w:rsid w:val="00112F4E"/>
    <w:rsid w:val="00113590"/>
    <w:rsid w:val="00113667"/>
    <w:rsid w:val="00113A46"/>
    <w:rsid w:val="00113F2D"/>
    <w:rsid w:val="00114155"/>
    <w:rsid w:val="001142F6"/>
    <w:rsid w:val="0011449F"/>
    <w:rsid w:val="00114585"/>
    <w:rsid w:val="0011498A"/>
    <w:rsid w:val="00114BD0"/>
    <w:rsid w:val="00114F02"/>
    <w:rsid w:val="00115108"/>
    <w:rsid w:val="001155F6"/>
    <w:rsid w:val="0011573A"/>
    <w:rsid w:val="001166DD"/>
    <w:rsid w:val="0011685D"/>
    <w:rsid w:val="001168F8"/>
    <w:rsid w:val="001178C2"/>
    <w:rsid w:val="00117AAC"/>
    <w:rsid w:val="00117C3F"/>
    <w:rsid w:val="00117DE7"/>
    <w:rsid w:val="0012084B"/>
    <w:rsid w:val="00121AAD"/>
    <w:rsid w:val="001222C1"/>
    <w:rsid w:val="001222CD"/>
    <w:rsid w:val="001229DB"/>
    <w:rsid w:val="00123EC3"/>
    <w:rsid w:val="00124B45"/>
    <w:rsid w:val="001253A0"/>
    <w:rsid w:val="00125402"/>
    <w:rsid w:val="001259D6"/>
    <w:rsid w:val="00125DD7"/>
    <w:rsid w:val="001260C7"/>
    <w:rsid w:val="001264C2"/>
    <w:rsid w:val="001276CA"/>
    <w:rsid w:val="001278C7"/>
    <w:rsid w:val="001278E8"/>
    <w:rsid w:val="001301B3"/>
    <w:rsid w:val="001305D6"/>
    <w:rsid w:val="00130E8B"/>
    <w:rsid w:val="00131075"/>
    <w:rsid w:val="001322F5"/>
    <w:rsid w:val="00132635"/>
    <w:rsid w:val="00132D1A"/>
    <w:rsid w:val="00132F9B"/>
    <w:rsid w:val="00133D44"/>
    <w:rsid w:val="00133E01"/>
    <w:rsid w:val="00134079"/>
    <w:rsid w:val="001345DF"/>
    <w:rsid w:val="00135CD5"/>
    <w:rsid w:val="00136CE8"/>
    <w:rsid w:val="00136F12"/>
    <w:rsid w:val="001375DE"/>
    <w:rsid w:val="00137C7C"/>
    <w:rsid w:val="00137E36"/>
    <w:rsid w:val="001407E3"/>
    <w:rsid w:val="00140B65"/>
    <w:rsid w:val="001410DF"/>
    <w:rsid w:val="00141CA9"/>
    <w:rsid w:val="00142D71"/>
    <w:rsid w:val="001430AA"/>
    <w:rsid w:val="00143134"/>
    <w:rsid w:val="0014377C"/>
    <w:rsid w:val="001440D0"/>
    <w:rsid w:val="00144B73"/>
    <w:rsid w:val="00144D49"/>
    <w:rsid w:val="0014539D"/>
    <w:rsid w:val="00145479"/>
    <w:rsid w:val="00145958"/>
    <w:rsid w:val="00145B70"/>
    <w:rsid w:val="00146686"/>
    <w:rsid w:val="001471DF"/>
    <w:rsid w:val="001475E8"/>
    <w:rsid w:val="001479A4"/>
    <w:rsid w:val="00151CE6"/>
    <w:rsid w:val="00151E2E"/>
    <w:rsid w:val="0015231B"/>
    <w:rsid w:val="00152B58"/>
    <w:rsid w:val="001532F2"/>
    <w:rsid w:val="00154107"/>
    <w:rsid w:val="00154260"/>
    <w:rsid w:val="00154516"/>
    <w:rsid w:val="00154698"/>
    <w:rsid w:val="00154DC1"/>
    <w:rsid w:val="00155FEA"/>
    <w:rsid w:val="0015600E"/>
    <w:rsid w:val="00156050"/>
    <w:rsid w:val="00156130"/>
    <w:rsid w:val="00156291"/>
    <w:rsid w:val="00156B0E"/>
    <w:rsid w:val="00157C1D"/>
    <w:rsid w:val="0016020C"/>
    <w:rsid w:val="00160529"/>
    <w:rsid w:val="001608CF"/>
    <w:rsid w:val="00160AD5"/>
    <w:rsid w:val="0016115F"/>
    <w:rsid w:val="00161309"/>
    <w:rsid w:val="00161B21"/>
    <w:rsid w:val="00161BEC"/>
    <w:rsid w:val="0016259B"/>
    <w:rsid w:val="001629D6"/>
    <w:rsid w:val="00162F03"/>
    <w:rsid w:val="00163510"/>
    <w:rsid w:val="00163787"/>
    <w:rsid w:val="00164034"/>
    <w:rsid w:val="00165371"/>
    <w:rsid w:val="00166479"/>
    <w:rsid w:val="0016669F"/>
    <w:rsid w:val="00166790"/>
    <w:rsid w:val="0016696B"/>
    <w:rsid w:val="00166C94"/>
    <w:rsid w:val="00167579"/>
    <w:rsid w:val="00167C82"/>
    <w:rsid w:val="00167E27"/>
    <w:rsid w:val="00171027"/>
    <w:rsid w:val="001711DB"/>
    <w:rsid w:val="001711F0"/>
    <w:rsid w:val="0017132F"/>
    <w:rsid w:val="00171A9C"/>
    <w:rsid w:val="00172315"/>
    <w:rsid w:val="001723DE"/>
    <w:rsid w:val="001723FB"/>
    <w:rsid w:val="001727E5"/>
    <w:rsid w:val="00172CC0"/>
    <w:rsid w:val="00172FC3"/>
    <w:rsid w:val="001730A6"/>
    <w:rsid w:val="001732C4"/>
    <w:rsid w:val="00173384"/>
    <w:rsid w:val="00173B02"/>
    <w:rsid w:val="00174191"/>
    <w:rsid w:val="001744BF"/>
    <w:rsid w:val="001749C1"/>
    <w:rsid w:val="00174AD6"/>
    <w:rsid w:val="00174B67"/>
    <w:rsid w:val="00174D3C"/>
    <w:rsid w:val="00176EC5"/>
    <w:rsid w:val="0017702F"/>
    <w:rsid w:val="001773AE"/>
    <w:rsid w:val="001775B9"/>
    <w:rsid w:val="00177895"/>
    <w:rsid w:val="00177F42"/>
    <w:rsid w:val="0018022F"/>
    <w:rsid w:val="00180F53"/>
    <w:rsid w:val="00181897"/>
    <w:rsid w:val="00181B7D"/>
    <w:rsid w:val="00182303"/>
    <w:rsid w:val="00182424"/>
    <w:rsid w:val="001826E4"/>
    <w:rsid w:val="00182750"/>
    <w:rsid w:val="001834AF"/>
    <w:rsid w:val="00184176"/>
    <w:rsid w:val="00184C37"/>
    <w:rsid w:val="00184E04"/>
    <w:rsid w:val="00184EDF"/>
    <w:rsid w:val="00186038"/>
    <w:rsid w:val="00186099"/>
    <w:rsid w:val="00186254"/>
    <w:rsid w:val="00186AA2"/>
    <w:rsid w:val="00186D3E"/>
    <w:rsid w:val="00187491"/>
    <w:rsid w:val="0018769C"/>
    <w:rsid w:val="0018769E"/>
    <w:rsid w:val="00190060"/>
    <w:rsid w:val="0019116B"/>
    <w:rsid w:val="00191432"/>
    <w:rsid w:val="001914D5"/>
    <w:rsid w:val="0019169A"/>
    <w:rsid w:val="00191799"/>
    <w:rsid w:val="00191A22"/>
    <w:rsid w:val="00191AAA"/>
    <w:rsid w:val="00192896"/>
    <w:rsid w:val="00192CE1"/>
    <w:rsid w:val="001930CF"/>
    <w:rsid w:val="001935D1"/>
    <w:rsid w:val="00193AF2"/>
    <w:rsid w:val="001942DB"/>
    <w:rsid w:val="001943B3"/>
    <w:rsid w:val="00194BD8"/>
    <w:rsid w:val="00194CB9"/>
    <w:rsid w:val="0019510D"/>
    <w:rsid w:val="00195A91"/>
    <w:rsid w:val="00195BA2"/>
    <w:rsid w:val="00195D13"/>
    <w:rsid w:val="00196B10"/>
    <w:rsid w:val="0019726A"/>
    <w:rsid w:val="001974AD"/>
    <w:rsid w:val="00197A9B"/>
    <w:rsid w:val="00197D14"/>
    <w:rsid w:val="00197DD4"/>
    <w:rsid w:val="001A07B5"/>
    <w:rsid w:val="001A085A"/>
    <w:rsid w:val="001A3379"/>
    <w:rsid w:val="001A3C60"/>
    <w:rsid w:val="001A5252"/>
    <w:rsid w:val="001A65CC"/>
    <w:rsid w:val="001A6B3A"/>
    <w:rsid w:val="001A6C9F"/>
    <w:rsid w:val="001A7613"/>
    <w:rsid w:val="001A767E"/>
    <w:rsid w:val="001A793A"/>
    <w:rsid w:val="001A7FD6"/>
    <w:rsid w:val="001B0028"/>
    <w:rsid w:val="001B03FF"/>
    <w:rsid w:val="001B06B1"/>
    <w:rsid w:val="001B0CE4"/>
    <w:rsid w:val="001B19FD"/>
    <w:rsid w:val="001B2543"/>
    <w:rsid w:val="001B306A"/>
    <w:rsid w:val="001B307B"/>
    <w:rsid w:val="001B31E8"/>
    <w:rsid w:val="001B3C63"/>
    <w:rsid w:val="001B3DC8"/>
    <w:rsid w:val="001B4340"/>
    <w:rsid w:val="001B4467"/>
    <w:rsid w:val="001B4525"/>
    <w:rsid w:val="001B45FE"/>
    <w:rsid w:val="001B4A56"/>
    <w:rsid w:val="001B59A8"/>
    <w:rsid w:val="001B5A41"/>
    <w:rsid w:val="001B6213"/>
    <w:rsid w:val="001B6707"/>
    <w:rsid w:val="001C0640"/>
    <w:rsid w:val="001C0E20"/>
    <w:rsid w:val="001C1C8C"/>
    <w:rsid w:val="001C2250"/>
    <w:rsid w:val="001C2A5E"/>
    <w:rsid w:val="001C2CAB"/>
    <w:rsid w:val="001C2E26"/>
    <w:rsid w:val="001C2F2D"/>
    <w:rsid w:val="001C34BE"/>
    <w:rsid w:val="001C38DD"/>
    <w:rsid w:val="001C3944"/>
    <w:rsid w:val="001C3E40"/>
    <w:rsid w:val="001C433D"/>
    <w:rsid w:val="001C452D"/>
    <w:rsid w:val="001C5065"/>
    <w:rsid w:val="001C64AE"/>
    <w:rsid w:val="001C68B5"/>
    <w:rsid w:val="001C77E4"/>
    <w:rsid w:val="001C7E7D"/>
    <w:rsid w:val="001C7F8B"/>
    <w:rsid w:val="001D02F2"/>
    <w:rsid w:val="001D0B73"/>
    <w:rsid w:val="001D0C79"/>
    <w:rsid w:val="001D0E04"/>
    <w:rsid w:val="001D16CB"/>
    <w:rsid w:val="001D1A41"/>
    <w:rsid w:val="001D1B72"/>
    <w:rsid w:val="001D1C71"/>
    <w:rsid w:val="001D2578"/>
    <w:rsid w:val="001D2855"/>
    <w:rsid w:val="001D2AF7"/>
    <w:rsid w:val="001D2E5C"/>
    <w:rsid w:val="001D3FF6"/>
    <w:rsid w:val="001D4077"/>
    <w:rsid w:val="001D44D7"/>
    <w:rsid w:val="001D4F63"/>
    <w:rsid w:val="001D5335"/>
    <w:rsid w:val="001D53A8"/>
    <w:rsid w:val="001D7140"/>
    <w:rsid w:val="001D743C"/>
    <w:rsid w:val="001E00B1"/>
    <w:rsid w:val="001E07AA"/>
    <w:rsid w:val="001E09ED"/>
    <w:rsid w:val="001E0C1D"/>
    <w:rsid w:val="001E14A8"/>
    <w:rsid w:val="001E1863"/>
    <w:rsid w:val="001E1A5A"/>
    <w:rsid w:val="001E267F"/>
    <w:rsid w:val="001E2B44"/>
    <w:rsid w:val="001E3423"/>
    <w:rsid w:val="001E359A"/>
    <w:rsid w:val="001E374A"/>
    <w:rsid w:val="001E3A2A"/>
    <w:rsid w:val="001E4047"/>
    <w:rsid w:val="001E4633"/>
    <w:rsid w:val="001E4BE7"/>
    <w:rsid w:val="001E4D91"/>
    <w:rsid w:val="001E52AF"/>
    <w:rsid w:val="001E5812"/>
    <w:rsid w:val="001E651A"/>
    <w:rsid w:val="001E6905"/>
    <w:rsid w:val="001E6FE7"/>
    <w:rsid w:val="001E7E98"/>
    <w:rsid w:val="001F07A2"/>
    <w:rsid w:val="001F145B"/>
    <w:rsid w:val="001F1584"/>
    <w:rsid w:val="001F18A6"/>
    <w:rsid w:val="001F19FA"/>
    <w:rsid w:val="001F1D49"/>
    <w:rsid w:val="001F207F"/>
    <w:rsid w:val="001F2429"/>
    <w:rsid w:val="001F2879"/>
    <w:rsid w:val="001F2DCD"/>
    <w:rsid w:val="001F2ECA"/>
    <w:rsid w:val="001F340E"/>
    <w:rsid w:val="001F4408"/>
    <w:rsid w:val="001F458E"/>
    <w:rsid w:val="001F45C5"/>
    <w:rsid w:val="001F473F"/>
    <w:rsid w:val="001F4CAD"/>
    <w:rsid w:val="001F4D0D"/>
    <w:rsid w:val="001F54B6"/>
    <w:rsid w:val="001F5C64"/>
    <w:rsid w:val="001F61AC"/>
    <w:rsid w:val="001F7190"/>
    <w:rsid w:val="001F77A8"/>
    <w:rsid w:val="001F77C7"/>
    <w:rsid w:val="001F7B74"/>
    <w:rsid w:val="001F7F2A"/>
    <w:rsid w:val="00200204"/>
    <w:rsid w:val="0020031D"/>
    <w:rsid w:val="00200534"/>
    <w:rsid w:val="002005B2"/>
    <w:rsid w:val="0020073F"/>
    <w:rsid w:val="00200886"/>
    <w:rsid w:val="00200E6C"/>
    <w:rsid w:val="002019AF"/>
    <w:rsid w:val="00201DAD"/>
    <w:rsid w:val="00201E47"/>
    <w:rsid w:val="0020219E"/>
    <w:rsid w:val="00202913"/>
    <w:rsid w:val="00202F44"/>
    <w:rsid w:val="00203AA0"/>
    <w:rsid w:val="002042DA"/>
    <w:rsid w:val="00204762"/>
    <w:rsid w:val="00204D1B"/>
    <w:rsid w:val="0020512B"/>
    <w:rsid w:val="002058DC"/>
    <w:rsid w:val="00206059"/>
    <w:rsid w:val="002064A3"/>
    <w:rsid w:val="0020674D"/>
    <w:rsid w:val="00206D81"/>
    <w:rsid w:val="00207249"/>
    <w:rsid w:val="0020788F"/>
    <w:rsid w:val="00207B33"/>
    <w:rsid w:val="00211C28"/>
    <w:rsid w:val="00211C95"/>
    <w:rsid w:val="00211DBB"/>
    <w:rsid w:val="00211E03"/>
    <w:rsid w:val="00212006"/>
    <w:rsid w:val="002124DA"/>
    <w:rsid w:val="00212685"/>
    <w:rsid w:val="00212B4E"/>
    <w:rsid w:val="00212C33"/>
    <w:rsid w:val="00212D2F"/>
    <w:rsid w:val="00212D92"/>
    <w:rsid w:val="00213006"/>
    <w:rsid w:val="002138F7"/>
    <w:rsid w:val="00213E81"/>
    <w:rsid w:val="002147FE"/>
    <w:rsid w:val="00214A05"/>
    <w:rsid w:val="002150DB"/>
    <w:rsid w:val="00215111"/>
    <w:rsid w:val="00215197"/>
    <w:rsid w:val="002153EC"/>
    <w:rsid w:val="002157F4"/>
    <w:rsid w:val="00215FC4"/>
    <w:rsid w:val="0021622A"/>
    <w:rsid w:val="00216E97"/>
    <w:rsid w:val="0021732B"/>
    <w:rsid w:val="002173EA"/>
    <w:rsid w:val="00217454"/>
    <w:rsid w:val="00217A8C"/>
    <w:rsid w:val="00217F6D"/>
    <w:rsid w:val="002203BE"/>
    <w:rsid w:val="0022067A"/>
    <w:rsid w:val="00220E5E"/>
    <w:rsid w:val="00222375"/>
    <w:rsid w:val="00222413"/>
    <w:rsid w:val="002234F9"/>
    <w:rsid w:val="00223755"/>
    <w:rsid w:val="00224339"/>
    <w:rsid w:val="00225825"/>
    <w:rsid w:val="00225B09"/>
    <w:rsid w:val="00225D85"/>
    <w:rsid w:val="00225FE0"/>
    <w:rsid w:val="00226CE4"/>
    <w:rsid w:val="00226EFC"/>
    <w:rsid w:val="00227E15"/>
    <w:rsid w:val="0023004A"/>
    <w:rsid w:val="00230BDF"/>
    <w:rsid w:val="00231756"/>
    <w:rsid w:val="00232D8A"/>
    <w:rsid w:val="00232EDD"/>
    <w:rsid w:val="00233237"/>
    <w:rsid w:val="00233FB0"/>
    <w:rsid w:val="002340B1"/>
    <w:rsid w:val="002342AD"/>
    <w:rsid w:val="002345CC"/>
    <w:rsid w:val="00234A6C"/>
    <w:rsid w:val="00235074"/>
    <w:rsid w:val="002350DF"/>
    <w:rsid w:val="00235828"/>
    <w:rsid w:val="0023606B"/>
    <w:rsid w:val="002361B8"/>
    <w:rsid w:val="00236F89"/>
    <w:rsid w:val="00237075"/>
    <w:rsid w:val="002377FB"/>
    <w:rsid w:val="00237853"/>
    <w:rsid w:val="0024055F"/>
    <w:rsid w:val="00240640"/>
    <w:rsid w:val="0024075F"/>
    <w:rsid w:val="0024077E"/>
    <w:rsid w:val="00240CF3"/>
    <w:rsid w:val="00240DCB"/>
    <w:rsid w:val="00241432"/>
    <w:rsid w:val="002417B3"/>
    <w:rsid w:val="002417F2"/>
    <w:rsid w:val="002419BE"/>
    <w:rsid w:val="00241A9F"/>
    <w:rsid w:val="00241B19"/>
    <w:rsid w:val="00241DB4"/>
    <w:rsid w:val="00242416"/>
    <w:rsid w:val="00242647"/>
    <w:rsid w:val="002427F0"/>
    <w:rsid w:val="0024377E"/>
    <w:rsid w:val="00243A32"/>
    <w:rsid w:val="00244886"/>
    <w:rsid w:val="002457C1"/>
    <w:rsid w:val="0024607C"/>
    <w:rsid w:val="00246287"/>
    <w:rsid w:val="002463AD"/>
    <w:rsid w:val="00246A16"/>
    <w:rsid w:val="00247756"/>
    <w:rsid w:val="00247FA8"/>
    <w:rsid w:val="00250168"/>
    <w:rsid w:val="002506D9"/>
    <w:rsid w:val="002506F9"/>
    <w:rsid w:val="00250EA8"/>
    <w:rsid w:val="00251978"/>
    <w:rsid w:val="002525F2"/>
    <w:rsid w:val="00252619"/>
    <w:rsid w:val="002526B7"/>
    <w:rsid w:val="002533EC"/>
    <w:rsid w:val="002539E9"/>
    <w:rsid w:val="00253A0D"/>
    <w:rsid w:val="00253F5C"/>
    <w:rsid w:val="00254A19"/>
    <w:rsid w:val="00254A5A"/>
    <w:rsid w:val="00254B5D"/>
    <w:rsid w:val="00255328"/>
    <w:rsid w:val="00255729"/>
    <w:rsid w:val="0025597F"/>
    <w:rsid w:val="00255D92"/>
    <w:rsid w:val="00256043"/>
    <w:rsid w:val="00256881"/>
    <w:rsid w:val="00256C34"/>
    <w:rsid w:val="00257D2E"/>
    <w:rsid w:val="0026042B"/>
    <w:rsid w:val="00262760"/>
    <w:rsid w:val="002627B3"/>
    <w:rsid w:val="00262B11"/>
    <w:rsid w:val="002630CD"/>
    <w:rsid w:val="002644CE"/>
    <w:rsid w:val="00264896"/>
    <w:rsid w:val="002649E6"/>
    <w:rsid w:val="00264A6D"/>
    <w:rsid w:val="00264C69"/>
    <w:rsid w:val="002650B3"/>
    <w:rsid w:val="00265189"/>
    <w:rsid w:val="0026553D"/>
    <w:rsid w:val="00265554"/>
    <w:rsid w:val="002660AA"/>
    <w:rsid w:val="002666C1"/>
    <w:rsid w:val="00266BCF"/>
    <w:rsid w:val="00266E5E"/>
    <w:rsid w:val="002678B1"/>
    <w:rsid w:val="00267D30"/>
    <w:rsid w:val="0027112B"/>
    <w:rsid w:val="00271C42"/>
    <w:rsid w:val="00271D11"/>
    <w:rsid w:val="00272436"/>
    <w:rsid w:val="00272DD5"/>
    <w:rsid w:val="0027522F"/>
    <w:rsid w:val="00275D3C"/>
    <w:rsid w:val="0027607B"/>
    <w:rsid w:val="002777E9"/>
    <w:rsid w:val="00277BEB"/>
    <w:rsid w:val="00277C58"/>
    <w:rsid w:val="00277C81"/>
    <w:rsid w:val="00280EAC"/>
    <w:rsid w:val="00281016"/>
    <w:rsid w:val="00281401"/>
    <w:rsid w:val="0028233F"/>
    <w:rsid w:val="0028307A"/>
    <w:rsid w:val="0028394E"/>
    <w:rsid w:val="00283B45"/>
    <w:rsid w:val="00283E33"/>
    <w:rsid w:val="002842D0"/>
    <w:rsid w:val="0028557F"/>
    <w:rsid w:val="00286924"/>
    <w:rsid w:val="00290113"/>
    <w:rsid w:val="00290EF8"/>
    <w:rsid w:val="0029135D"/>
    <w:rsid w:val="002916DA"/>
    <w:rsid w:val="00291C2B"/>
    <w:rsid w:val="00291CB8"/>
    <w:rsid w:val="0029234B"/>
    <w:rsid w:val="00293561"/>
    <w:rsid w:val="00293572"/>
    <w:rsid w:val="00293686"/>
    <w:rsid w:val="0029381D"/>
    <w:rsid w:val="00294BCB"/>
    <w:rsid w:val="00295A9A"/>
    <w:rsid w:val="00295C99"/>
    <w:rsid w:val="00295CC1"/>
    <w:rsid w:val="0029666B"/>
    <w:rsid w:val="00296738"/>
    <w:rsid w:val="00297646"/>
    <w:rsid w:val="002A01FB"/>
    <w:rsid w:val="002A05FE"/>
    <w:rsid w:val="002A0B7A"/>
    <w:rsid w:val="002A1B4C"/>
    <w:rsid w:val="002A2099"/>
    <w:rsid w:val="002A2336"/>
    <w:rsid w:val="002A25B7"/>
    <w:rsid w:val="002A2674"/>
    <w:rsid w:val="002A2A51"/>
    <w:rsid w:val="002A3720"/>
    <w:rsid w:val="002A3A29"/>
    <w:rsid w:val="002A45EF"/>
    <w:rsid w:val="002A5A5B"/>
    <w:rsid w:val="002A69D4"/>
    <w:rsid w:val="002A7F94"/>
    <w:rsid w:val="002B1923"/>
    <w:rsid w:val="002B19B4"/>
    <w:rsid w:val="002B1A9C"/>
    <w:rsid w:val="002B1BF9"/>
    <w:rsid w:val="002B2335"/>
    <w:rsid w:val="002B2897"/>
    <w:rsid w:val="002B2FA1"/>
    <w:rsid w:val="002B4098"/>
    <w:rsid w:val="002B44D0"/>
    <w:rsid w:val="002B4999"/>
    <w:rsid w:val="002B55F5"/>
    <w:rsid w:val="002B578E"/>
    <w:rsid w:val="002B65B9"/>
    <w:rsid w:val="002B66E7"/>
    <w:rsid w:val="002B67AB"/>
    <w:rsid w:val="002B6AEB"/>
    <w:rsid w:val="002B7AAB"/>
    <w:rsid w:val="002B7C32"/>
    <w:rsid w:val="002B7EB0"/>
    <w:rsid w:val="002C0666"/>
    <w:rsid w:val="002C0B14"/>
    <w:rsid w:val="002C0C1D"/>
    <w:rsid w:val="002C10FC"/>
    <w:rsid w:val="002C12D6"/>
    <w:rsid w:val="002C14C6"/>
    <w:rsid w:val="002C386E"/>
    <w:rsid w:val="002C4093"/>
    <w:rsid w:val="002C43E5"/>
    <w:rsid w:val="002C4451"/>
    <w:rsid w:val="002C4A61"/>
    <w:rsid w:val="002C4B35"/>
    <w:rsid w:val="002C52C2"/>
    <w:rsid w:val="002C5422"/>
    <w:rsid w:val="002C56A0"/>
    <w:rsid w:val="002C58A2"/>
    <w:rsid w:val="002C59DA"/>
    <w:rsid w:val="002C5B23"/>
    <w:rsid w:val="002C6A2C"/>
    <w:rsid w:val="002C7422"/>
    <w:rsid w:val="002C76E5"/>
    <w:rsid w:val="002D0337"/>
    <w:rsid w:val="002D0C9A"/>
    <w:rsid w:val="002D15AE"/>
    <w:rsid w:val="002D17DC"/>
    <w:rsid w:val="002D1B50"/>
    <w:rsid w:val="002D26F2"/>
    <w:rsid w:val="002D2C29"/>
    <w:rsid w:val="002D3420"/>
    <w:rsid w:val="002D36CC"/>
    <w:rsid w:val="002D3A7D"/>
    <w:rsid w:val="002D4505"/>
    <w:rsid w:val="002D4790"/>
    <w:rsid w:val="002D52FC"/>
    <w:rsid w:val="002D5D8E"/>
    <w:rsid w:val="002D611D"/>
    <w:rsid w:val="002D6DD2"/>
    <w:rsid w:val="002D6FA3"/>
    <w:rsid w:val="002E03FF"/>
    <w:rsid w:val="002E049F"/>
    <w:rsid w:val="002E0846"/>
    <w:rsid w:val="002E087E"/>
    <w:rsid w:val="002E0A20"/>
    <w:rsid w:val="002E130A"/>
    <w:rsid w:val="002E146E"/>
    <w:rsid w:val="002E149C"/>
    <w:rsid w:val="002E1539"/>
    <w:rsid w:val="002E1D45"/>
    <w:rsid w:val="002E2A08"/>
    <w:rsid w:val="002E3638"/>
    <w:rsid w:val="002E37CD"/>
    <w:rsid w:val="002E41C1"/>
    <w:rsid w:val="002E4385"/>
    <w:rsid w:val="002E4A17"/>
    <w:rsid w:val="002E4B32"/>
    <w:rsid w:val="002E4C7F"/>
    <w:rsid w:val="002E57E1"/>
    <w:rsid w:val="002E5C8C"/>
    <w:rsid w:val="002E5E51"/>
    <w:rsid w:val="002E5F2E"/>
    <w:rsid w:val="002E6103"/>
    <w:rsid w:val="002E6733"/>
    <w:rsid w:val="002E763F"/>
    <w:rsid w:val="002E7723"/>
    <w:rsid w:val="002E7AB3"/>
    <w:rsid w:val="002F0174"/>
    <w:rsid w:val="002F0307"/>
    <w:rsid w:val="002F1278"/>
    <w:rsid w:val="002F1450"/>
    <w:rsid w:val="002F1731"/>
    <w:rsid w:val="002F26FB"/>
    <w:rsid w:val="002F2C39"/>
    <w:rsid w:val="002F2D84"/>
    <w:rsid w:val="002F33B1"/>
    <w:rsid w:val="002F464B"/>
    <w:rsid w:val="002F4C77"/>
    <w:rsid w:val="002F5291"/>
    <w:rsid w:val="002F5C7A"/>
    <w:rsid w:val="002F5CF5"/>
    <w:rsid w:val="002F5E49"/>
    <w:rsid w:val="002F61AD"/>
    <w:rsid w:val="002F65E5"/>
    <w:rsid w:val="002F6C5E"/>
    <w:rsid w:val="002F71DB"/>
    <w:rsid w:val="00300B65"/>
    <w:rsid w:val="00300FD7"/>
    <w:rsid w:val="00301B39"/>
    <w:rsid w:val="00301C87"/>
    <w:rsid w:val="00302F18"/>
    <w:rsid w:val="0030385D"/>
    <w:rsid w:val="0030391F"/>
    <w:rsid w:val="00304B4C"/>
    <w:rsid w:val="00304FD9"/>
    <w:rsid w:val="003052E7"/>
    <w:rsid w:val="00305648"/>
    <w:rsid w:val="003056C0"/>
    <w:rsid w:val="003058AD"/>
    <w:rsid w:val="0030713A"/>
    <w:rsid w:val="00310874"/>
    <w:rsid w:val="00310B06"/>
    <w:rsid w:val="003114A2"/>
    <w:rsid w:val="00311C6F"/>
    <w:rsid w:val="00312494"/>
    <w:rsid w:val="00312634"/>
    <w:rsid w:val="0031264B"/>
    <w:rsid w:val="003128F5"/>
    <w:rsid w:val="00312B2A"/>
    <w:rsid w:val="00312E68"/>
    <w:rsid w:val="0031306C"/>
    <w:rsid w:val="003133F8"/>
    <w:rsid w:val="00316435"/>
    <w:rsid w:val="003164F1"/>
    <w:rsid w:val="0031685C"/>
    <w:rsid w:val="00316971"/>
    <w:rsid w:val="00316B6F"/>
    <w:rsid w:val="00316F4D"/>
    <w:rsid w:val="00317243"/>
    <w:rsid w:val="0031746C"/>
    <w:rsid w:val="00317758"/>
    <w:rsid w:val="00317973"/>
    <w:rsid w:val="0032032B"/>
    <w:rsid w:val="003205ED"/>
    <w:rsid w:val="00320AED"/>
    <w:rsid w:val="00321834"/>
    <w:rsid w:val="00321928"/>
    <w:rsid w:val="00321AC4"/>
    <w:rsid w:val="00322374"/>
    <w:rsid w:val="003225B5"/>
    <w:rsid w:val="00323030"/>
    <w:rsid w:val="0032370E"/>
    <w:rsid w:val="00323844"/>
    <w:rsid w:val="00323DCA"/>
    <w:rsid w:val="003243E9"/>
    <w:rsid w:val="00324F64"/>
    <w:rsid w:val="0032525A"/>
    <w:rsid w:val="00325FBE"/>
    <w:rsid w:val="003260EC"/>
    <w:rsid w:val="00326476"/>
    <w:rsid w:val="003265A6"/>
    <w:rsid w:val="00326716"/>
    <w:rsid w:val="00326B1D"/>
    <w:rsid w:val="0032757C"/>
    <w:rsid w:val="0032794D"/>
    <w:rsid w:val="00327E00"/>
    <w:rsid w:val="003307EF"/>
    <w:rsid w:val="00330DD3"/>
    <w:rsid w:val="003314B7"/>
    <w:rsid w:val="003319A4"/>
    <w:rsid w:val="00331BCE"/>
    <w:rsid w:val="0033249A"/>
    <w:rsid w:val="00332F34"/>
    <w:rsid w:val="00333A16"/>
    <w:rsid w:val="00333B50"/>
    <w:rsid w:val="00333F52"/>
    <w:rsid w:val="00334338"/>
    <w:rsid w:val="00334BC9"/>
    <w:rsid w:val="003351CD"/>
    <w:rsid w:val="0033531E"/>
    <w:rsid w:val="00335CDB"/>
    <w:rsid w:val="00335CE7"/>
    <w:rsid w:val="0033657C"/>
    <w:rsid w:val="0033677C"/>
    <w:rsid w:val="00336C54"/>
    <w:rsid w:val="003374F3"/>
    <w:rsid w:val="00337FAC"/>
    <w:rsid w:val="00340957"/>
    <w:rsid w:val="003415A9"/>
    <w:rsid w:val="0034191D"/>
    <w:rsid w:val="00341DBE"/>
    <w:rsid w:val="003424ED"/>
    <w:rsid w:val="00342516"/>
    <w:rsid w:val="00342A0E"/>
    <w:rsid w:val="00343746"/>
    <w:rsid w:val="00343AAE"/>
    <w:rsid w:val="00343B2B"/>
    <w:rsid w:val="0034416C"/>
    <w:rsid w:val="0034481D"/>
    <w:rsid w:val="003448CE"/>
    <w:rsid w:val="00344BA6"/>
    <w:rsid w:val="0034502F"/>
    <w:rsid w:val="00345256"/>
    <w:rsid w:val="003453E8"/>
    <w:rsid w:val="0034642D"/>
    <w:rsid w:val="00346607"/>
    <w:rsid w:val="00346E6B"/>
    <w:rsid w:val="003476BA"/>
    <w:rsid w:val="00351347"/>
    <w:rsid w:val="0035169B"/>
    <w:rsid w:val="0035212A"/>
    <w:rsid w:val="003522A3"/>
    <w:rsid w:val="003523FF"/>
    <w:rsid w:val="0035244F"/>
    <w:rsid w:val="0035348C"/>
    <w:rsid w:val="00354303"/>
    <w:rsid w:val="003544CC"/>
    <w:rsid w:val="00354D47"/>
    <w:rsid w:val="00354EEA"/>
    <w:rsid w:val="00354FE5"/>
    <w:rsid w:val="0035554B"/>
    <w:rsid w:val="0035574F"/>
    <w:rsid w:val="00355FD5"/>
    <w:rsid w:val="00356B39"/>
    <w:rsid w:val="00360A89"/>
    <w:rsid w:val="00360B3F"/>
    <w:rsid w:val="00361A9C"/>
    <w:rsid w:val="00361AEF"/>
    <w:rsid w:val="00362589"/>
    <w:rsid w:val="00363643"/>
    <w:rsid w:val="00363B0F"/>
    <w:rsid w:val="00363F91"/>
    <w:rsid w:val="003645BF"/>
    <w:rsid w:val="003654DA"/>
    <w:rsid w:val="003669FE"/>
    <w:rsid w:val="00366BEC"/>
    <w:rsid w:val="0036767E"/>
    <w:rsid w:val="00367DDE"/>
    <w:rsid w:val="00367F2E"/>
    <w:rsid w:val="00367FA8"/>
    <w:rsid w:val="00367FEA"/>
    <w:rsid w:val="003706F3"/>
    <w:rsid w:val="0037238B"/>
    <w:rsid w:val="00372E42"/>
    <w:rsid w:val="00373230"/>
    <w:rsid w:val="003734E0"/>
    <w:rsid w:val="0037397C"/>
    <w:rsid w:val="0037426B"/>
    <w:rsid w:val="0037438C"/>
    <w:rsid w:val="00374EAD"/>
    <w:rsid w:val="003755AF"/>
    <w:rsid w:val="003755C3"/>
    <w:rsid w:val="00375B67"/>
    <w:rsid w:val="00376C10"/>
    <w:rsid w:val="00376E12"/>
    <w:rsid w:val="00377A17"/>
    <w:rsid w:val="00377F12"/>
    <w:rsid w:val="003803BF"/>
    <w:rsid w:val="00380B9D"/>
    <w:rsid w:val="00380D2B"/>
    <w:rsid w:val="00380F2D"/>
    <w:rsid w:val="00381C64"/>
    <w:rsid w:val="00382839"/>
    <w:rsid w:val="003830B4"/>
    <w:rsid w:val="003831A8"/>
    <w:rsid w:val="0038391F"/>
    <w:rsid w:val="00384DFB"/>
    <w:rsid w:val="003851CD"/>
    <w:rsid w:val="003856CE"/>
    <w:rsid w:val="00386B8C"/>
    <w:rsid w:val="00387F08"/>
    <w:rsid w:val="00390E51"/>
    <w:rsid w:val="00390EA6"/>
    <w:rsid w:val="00391887"/>
    <w:rsid w:val="003921BC"/>
    <w:rsid w:val="00392DDD"/>
    <w:rsid w:val="00393319"/>
    <w:rsid w:val="003945CF"/>
    <w:rsid w:val="00394FE4"/>
    <w:rsid w:val="003956E9"/>
    <w:rsid w:val="0039593F"/>
    <w:rsid w:val="00395AEC"/>
    <w:rsid w:val="00396D1E"/>
    <w:rsid w:val="00396DCE"/>
    <w:rsid w:val="00397481"/>
    <w:rsid w:val="0039768E"/>
    <w:rsid w:val="003977F5"/>
    <w:rsid w:val="00397F89"/>
    <w:rsid w:val="003A0565"/>
    <w:rsid w:val="003A1281"/>
    <w:rsid w:val="003A13B5"/>
    <w:rsid w:val="003A1835"/>
    <w:rsid w:val="003A1A1A"/>
    <w:rsid w:val="003A223C"/>
    <w:rsid w:val="003A250A"/>
    <w:rsid w:val="003A27FA"/>
    <w:rsid w:val="003A288A"/>
    <w:rsid w:val="003A2AA3"/>
    <w:rsid w:val="003A360E"/>
    <w:rsid w:val="003A3982"/>
    <w:rsid w:val="003A3ACC"/>
    <w:rsid w:val="003A3C67"/>
    <w:rsid w:val="003A483C"/>
    <w:rsid w:val="003A4DB2"/>
    <w:rsid w:val="003A572E"/>
    <w:rsid w:val="003A6985"/>
    <w:rsid w:val="003A6C2F"/>
    <w:rsid w:val="003A7039"/>
    <w:rsid w:val="003A786E"/>
    <w:rsid w:val="003A7C77"/>
    <w:rsid w:val="003B063B"/>
    <w:rsid w:val="003B1E05"/>
    <w:rsid w:val="003B2140"/>
    <w:rsid w:val="003B2A62"/>
    <w:rsid w:val="003B3044"/>
    <w:rsid w:val="003B4278"/>
    <w:rsid w:val="003B57C0"/>
    <w:rsid w:val="003B5FAF"/>
    <w:rsid w:val="003B6840"/>
    <w:rsid w:val="003B68C9"/>
    <w:rsid w:val="003B6B7A"/>
    <w:rsid w:val="003B6C59"/>
    <w:rsid w:val="003B735E"/>
    <w:rsid w:val="003B79E2"/>
    <w:rsid w:val="003C010D"/>
    <w:rsid w:val="003C0D5F"/>
    <w:rsid w:val="003C0D97"/>
    <w:rsid w:val="003C183F"/>
    <w:rsid w:val="003C21A0"/>
    <w:rsid w:val="003C24DB"/>
    <w:rsid w:val="003C2544"/>
    <w:rsid w:val="003C27CC"/>
    <w:rsid w:val="003C28E4"/>
    <w:rsid w:val="003C2E13"/>
    <w:rsid w:val="003C33F6"/>
    <w:rsid w:val="003C3789"/>
    <w:rsid w:val="003C38F7"/>
    <w:rsid w:val="003C42C4"/>
    <w:rsid w:val="003C4C19"/>
    <w:rsid w:val="003C567B"/>
    <w:rsid w:val="003C5787"/>
    <w:rsid w:val="003C5B44"/>
    <w:rsid w:val="003C5DD9"/>
    <w:rsid w:val="003C5F1B"/>
    <w:rsid w:val="003C63E8"/>
    <w:rsid w:val="003C6809"/>
    <w:rsid w:val="003C722F"/>
    <w:rsid w:val="003C72A5"/>
    <w:rsid w:val="003D0E04"/>
    <w:rsid w:val="003D1277"/>
    <w:rsid w:val="003D1C39"/>
    <w:rsid w:val="003D1DEB"/>
    <w:rsid w:val="003D1FC5"/>
    <w:rsid w:val="003D2098"/>
    <w:rsid w:val="003D250E"/>
    <w:rsid w:val="003D2906"/>
    <w:rsid w:val="003D4398"/>
    <w:rsid w:val="003D44AD"/>
    <w:rsid w:val="003D4DFD"/>
    <w:rsid w:val="003D51CC"/>
    <w:rsid w:val="003D56D8"/>
    <w:rsid w:val="003D5B59"/>
    <w:rsid w:val="003D5BDD"/>
    <w:rsid w:val="003D6112"/>
    <w:rsid w:val="003D62BD"/>
    <w:rsid w:val="003D64F5"/>
    <w:rsid w:val="003D6A02"/>
    <w:rsid w:val="003D6A24"/>
    <w:rsid w:val="003D6C0E"/>
    <w:rsid w:val="003D6E0F"/>
    <w:rsid w:val="003D7733"/>
    <w:rsid w:val="003D77F5"/>
    <w:rsid w:val="003E1EFE"/>
    <w:rsid w:val="003E21E2"/>
    <w:rsid w:val="003E27AB"/>
    <w:rsid w:val="003E3572"/>
    <w:rsid w:val="003E390E"/>
    <w:rsid w:val="003E3BA6"/>
    <w:rsid w:val="003E3F4E"/>
    <w:rsid w:val="003E407E"/>
    <w:rsid w:val="003E40AC"/>
    <w:rsid w:val="003E5926"/>
    <w:rsid w:val="003E5ADE"/>
    <w:rsid w:val="003E5BC1"/>
    <w:rsid w:val="003E65A6"/>
    <w:rsid w:val="003E6651"/>
    <w:rsid w:val="003E67DC"/>
    <w:rsid w:val="003E6E84"/>
    <w:rsid w:val="003E7B21"/>
    <w:rsid w:val="003E7D16"/>
    <w:rsid w:val="003F030A"/>
    <w:rsid w:val="003F0C4E"/>
    <w:rsid w:val="003F157C"/>
    <w:rsid w:val="003F25A6"/>
    <w:rsid w:val="003F30A7"/>
    <w:rsid w:val="003F34B7"/>
    <w:rsid w:val="003F3AF7"/>
    <w:rsid w:val="003F3F62"/>
    <w:rsid w:val="003F4261"/>
    <w:rsid w:val="003F4916"/>
    <w:rsid w:val="003F563A"/>
    <w:rsid w:val="003F5CF4"/>
    <w:rsid w:val="003F64C5"/>
    <w:rsid w:val="003F6AD7"/>
    <w:rsid w:val="003F6DAF"/>
    <w:rsid w:val="003F6EB1"/>
    <w:rsid w:val="003F73A4"/>
    <w:rsid w:val="00400062"/>
    <w:rsid w:val="004003CE"/>
    <w:rsid w:val="004004A3"/>
    <w:rsid w:val="00400789"/>
    <w:rsid w:val="00400B4B"/>
    <w:rsid w:val="00401080"/>
    <w:rsid w:val="004016F7"/>
    <w:rsid w:val="0040178D"/>
    <w:rsid w:val="004017EB"/>
    <w:rsid w:val="0040192A"/>
    <w:rsid w:val="00401D4A"/>
    <w:rsid w:val="004024F1"/>
    <w:rsid w:val="00403214"/>
    <w:rsid w:val="004036DC"/>
    <w:rsid w:val="00403780"/>
    <w:rsid w:val="00405F4F"/>
    <w:rsid w:val="00406021"/>
    <w:rsid w:val="00407334"/>
    <w:rsid w:val="004076B9"/>
    <w:rsid w:val="00407BD6"/>
    <w:rsid w:val="00407EC1"/>
    <w:rsid w:val="004100FE"/>
    <w:rsid w:val="00410CCC"/>
    <w:rsid w:val="00411490"/>
    <w:rsid w:val="004119AA"/>
    <w:rsid w:val="00411AB5"/>
    <w:rsid w:val="00411D67"/>
    <w:rsid w:val="0041233F"/>
    <w:rsid w:val="004123AE"/>
    <w:rsid w:val="00412C46"/>
    <w:rsid w:val="00412F6E"/>
    <w:rsid w:val="00414F54"/>
    <w:rsid w:val="00415083"/>
    <w:rsid w:val="004155E3"/>
    <w:rsid w:val="00415B26"/>
    <w:rsid w:val="00416190"/>
    <w:rsid w:val="00416362"/>
    <w:rsid w:val="004164D5"/>
    <w:rsid w:val="004168D4"/>
    <w:rsid w:val="0041694C"/>
    <w:rsid w:val="00416A99"/>
    <w:rsid w:val="00417EF7"/>
    <w:rsid w:val="004205CE"/>
    <w:rsid w:val="004206D2"/>
    <w:rsid w:val="00420AB9"/>
    <w:rsid w:val="0042164A"/>
    <w:rsid w:val="004217B8"/>
    <w:rsid w:val="004220A4"/>
    <w:rsid w:val="00422945"/>
    <w:rsid w:val="00422DDB"/>
    <w:rsid w:val="00423794"/>
    <w:rsid w:val="00423ADF"/>
    <w:rsid w:val="00424172"/>
    <w:rsid w:val="004244F2"/>
    <w:rsid w:val="00425066"/>
    <w:rsid w:val="00425151"/>
    <w:rsid w:val="00425191"/>
    <w:rsid w:val="004256C5"/>
    <w:rsid w:val="00425942"/>
    <w:rsid w:val="00425F76"/>
    <w:rsid w:val="004267CA"/>
    <w:rsid w:val="004268A9"/>
    <w:rsid w:val="00427203"/>
    <w:rsid w:val="004275EB"/>
    <w:rsid w:val="00430793"/>
    <w:rsid w:val="00430A06"/>
    <w:rsid w:val="00430B92"/>
    <w:rsid w:val="00431467"/>
    <w:rsid w:val="00431685"/>
    <w:rsid w:val="004319E3"/>
    <w:rsid w:val="00431B04"/>
    <w:rsid w:val="00431B2E"/>
    <w:rsid w:val="004323F2"/>
    <w:rsid w:val="004325C9"/>
    <w:rsid w:val="004338A3"/>
    <w:rsid w:val="00433F4E"/>
    <w:rsid w:val="004343F0"/>
    <w:rsid w:val="00434586"/>
    <w:rsid w:val="00434E02"/>
    <w:rsid w:val="00435481"/>
    <w:rsid w:val="0043577E"/>
    <w:rsid w:val="00435C0F"/>
    <w:rsid w:val="0043668F"/>
    <w:rsid w:val="00436940"/>
    <w:rsid w:val="00437668"/>
    <w:rsid w:val="00437DEC"/>
    <w:rsid w:val="004401A6"/>
    <w:rsid w:val="00440600"/>
    <w:rsid w:val="004407AE"/>
    <w:rsid w:val="00440823"/>
    <w:rsid w:val="00440C33"/>
    <w:rsid w:val="004412CF"/>
    <w:rsid w:val="004414AE"/>
    <w:rsid w:val="00441829"/>
    <w:rsid w:val="00442309"/>
    <w:rsid w:val="004427EC"/>
    <w:rsid w:val="0044288A"/>
    <w:rsid w:val="00442DC5"/>
    <w:rsid w:val="004436F7"/>
    <w:rsid w:val="00443F9A"/>
    <w:rsid w:val="0044420D"/>
    <w:rsid w:val="00444241"/>
    <w:rsid w:val="00444346"/>
    <w:rsid w:val="0044435E"/>
    <w:rsid w:val="004457AC"/>
    <w:rsid w:val="00445B29"/>
    <w:rsid w:val="004460E2"/>
    <w:rsid w:val="004461AD"/>
    <w:rsid w:val="00446F81"/>
    <w:rsid w:val="00446FC3"/>
    <w:rsid w:val="004500E3"/>
    <w:rsid w:val="0045043E"/>
    <w:rsid w:val="00451051"/>
    <w:rsid w:val="004512C1"/>
    <w:rsid w:val="0045170C"/>
    <w:rsid w:val="00451715"/>
    <w:rsid w:val="004521F4"/>
    <w:rsid w:val="00452632"/>
    <w:rsid w:val="00452C9F"/>
    <w:rsid w:val="00452EAA"/>
    <w:rsid w:val="004533CC"/>
    <w:rsid w:val="0045381F"/>
    <w:rsid w:val="0045394B"/>
    <w:rsid w:val="00453BC6"/>
    <w:rsid w:val="00453DB0"/>
    <w:rsid w:val="00454A72"/>
    <w:rsid w:val="00454BF9"/>
    <w:rsid w:val="00455496"/>
    <w:rsid w:val="00455B04"/>
    <w:rsid w:val="00455B1F"/>
    <w:rsid w:val="00456B92"/>
    <w:rsid w:val="00456D2B"/>
    <w:rsid w:val="00456F54"/>
    <w:rsid w:val="004574CC"/>
    <w:rsid w:val="00457D28"/>
    <w:rsid w:val="00460205"/>
    <w:rsid w:val="00460486"/>
    <w:rsid w:val="00462135"/>
    <w:rsid w:val="0046357F"/>
    <w:rsid w:val="0046358C"/>
    <w:rsid w:val="00463A14"/>
    <w:rsid w:val="00463B37"/>
    <w:rsid w:val="00464465"/>
    <w:rsid w:val="0046478E"/>
    <w:rsid w:val="00464B8C"/>
    <w:rsid w:val="00464E26"/>
    <w:rsid w:val="00464F3C"/>
    <w:rsid w:val="004658FA"/>
    <w:rsid w:val="00465BCA"/>
    <w:rsid w:val="0046671A"/>
    <w:rsid w:val="00466B76"/>
    <w:rsid w:val="004674EE"/>
    <w:rsid w:val="00467AC2"/>
    <w:rsid w:val="00467CA4"/>
    <w:rsid w:val="00467DCB"/>
    <w:rsid w:val="00470118"/>
    <w:rsid w:val="00470ABD"/>
    <w:rsid w:val="00470AE8"/>
    <w:rsid w:val="004712C4"/>
    <w:rsid w:val="00471383"/>
    <w:rsid w:val="004714AD"/>
    <w:rsid w:val="0047185B"/>
    <w:rsid w:val="00471B97"/>
    <w:rsid w:val="00471C9C"/>
    <w:rsid w:val="00471D37"/>
    <w:rsid w:val="00472C28"/>
    <w:rsid w:val="00473535"/>
    <w:rsid w:val="0047405B"/>
    <w:rsid w:val="004740E2"/>
    <w:rsid w:val="00474466"/>
    <w:rsid w:val="00474679"/>
    <w:rsid w:val="004746AB"/>
    <w:rsid w:val="004748B7"/>
    <w:rsid w:val="00475333"/>
    <w:rsid w:val="00475BEF"/>
    <w:rsid w:val="00476505"/>
    <w:rsid w:val="00476824"/>
    <w:rsid w:val="00476CDE"/>
    <w:rsid w:val="004771E9"/>
    <w:rsid w:val="0048032A"/>
    <w:rsid w:val="004803B8"/>
    <w:rsid w:val="004806E9"/>
    <w:rsid w:val="00480A49"/>
    <w:rsid w:val="0048110B"/>
    <w:rsid w:val="004811A9"/>
    <w:rsid w:val="004811CE"/>
    <w:rsid w:val="004819E0"/>
    <w:rsid w:val="004820E0"/>
    <w:rsid w:val="004828B1"/>
    <w:rsid w:val="004830F5"/>
    <w:rsid w:val="004838CD"/>
    <w:rsid w:val="00483F52"/>
    <w:rsid w:val="004846AE"/>
    <w:rsid w:val="0048488E"/>
    <w:rsid w:val="00484C2C"/>
    <w:rsid w:val="00484DB1"/>
    <w:rsid w:val="0048508A"/>
    <w:rsid w:val="00485CE6"/>
    <w:rsid w:val="004862B7"/>
    <w:rsid w:val="00486A0E"/>
    <w:rsid w:val="00486B02"/>
    <w:rsid w:val="00486B2B"/>
    <w:rsid w:val="004871EE"/>
    <w:rsid w:val="00490709"/>
    <w:rsid w:val="00490BA0"/>
    <w:rsid w:val="00490E2F"/>
    <w:rsid w:val="00492981"/>
    <w:rsid w:val="00492D21"/>
    <w:rsid w:val="00493239"/>
    <w:rsid w:val="004932A3"/>
    <w:rsid w:val="004932EF"/>
    <w:rsid w:val="004946AE"/>
    <w:rsid w:val="00494985"/>
    <w:rsid w:val="00494D42"/>
    <w:rsid w:val="00495CED"/>
    <w:rsid w:val="004961A0"/>
    <w:rsid w:val="004962A3"/>
    <w:rsid w:val="00496962"/>
    <w:rsid w:val="00496FEF"/>
    <w:rsid w:val="004971A2"/>
    <w:rsid w:val="00497304"/>
    <w:rsid w:val="00497A45"/>
    <w:rsid w:val="004A0C0B"/>
    <w:rsid w:val="004A1111"/>
    <w:rsid w:val="004A18C7"/>
    <w:rsid w:val="004A2467"/>
    <w:rsid w:val="004A2BCC"/>
    <w:rsid w:val="004A2DE1"/>
    <w:rsid w:val="004A3C33"/>
    <w:rsid w:val="004A4151"/>
    <w:rsid w:val="004A49C2"/>
    <w:rsid w:val="004A4D24"/>
    <w:rsid w:val="004A4E64"/>
    <w:rsid w:val="004A5F52"/>
    <w:rsid w:val="004A69BF"/>
    <w:rsid w:val="004A76A0"/>
    <w:rsid w:val="004B03E4"/>
    <w:rsid w:val="004B0949"/>
    <w:rsid w:val="004B0C27"/>
    <w:rsid w:val="004B0E7B"/>
    <w:rsid w:val="004B1D49"/>
    <w:rsid w:val="004B251E"/>
    <w:rsid w:val="004B2C89"/>
    <w:rsid w:val="004B30FF"/>
    <w:rsid w:val="004B3659"/>
    <w:rsid w:val="004B43CE"/>
    <w:rsid w:val="004B49D9"/>
    <w:rsid w:val="004B4F54"/>
    <w:rsid w:val="004B5198"/>
    <w:rsid w:val="004B55BB"/>
    <w:rsid w:val="004B5A6A"/>
    <w:rsid w:val="004B5EFC"/>
    <w:rsid w:val="004B69EE"/>
    <w:rsid w:val="004B6A49"/>
    <w:rsid w:val="004B7895"/>
    <w:rsid w:val="004B7B2E"/>
    <w:rsid w:val="004C02B3"/>
    <w:rsid w:val="004C063E"/>
    <w:rsid w:val="004C127D"/>
    <w:rsid w:val="004C1319"/>
    <w:rsid w:val="004C14E5"/>
    <w:rsid w:val="004C1D6C"/>
    <w:rsid w:val="004C2D76"/>
    <w:rsid w:val="004C317A"/>
    <w:rsid w:val="004C47F0"/>
    <w:rsid w:val="004C6608"/>
    <w:rsid w:val="004C6679"/>
    <w:rsid w:val="004C72F2"/>
    <w:rsid w:val="004C7694"/>
    <w:rsid w:val="004C7D1B"/>
    <w:rsid w:val="004D07E5"/>
    <w:rsid w:val="004D2062"/>
    <w:rsid w:val="004D2798"/>
    <w:rsid w:val="004D27AB"/>
    <w:rsid w:val="004D4370"/>
    <w:rsid w:val="004D456F"/>
    <w:rsid w:val="004D46B2"/>
    <w:rsid w:val="004D4A1B"/>
    <w:rsid w:val="004D4A89"/>
    <w:rsid w:val="004D5310"/>
    <w:rsid w:val="004D5575"/>
    <w:rsid w:val="004D59BE"/>
    <w:rsid w:val="004D67CD"/>
    <w:rsid w:val="004D6BC0"/>
    <w:rsid w:val="004D6F20"/>
    <w:rsid w:val="004D7763"/>
    <w:rsid w:val="004D778A"/>
    <w:rsid w:val="004D7BB5"/>
    <w:rsid w:val="004D7BD2"/>
    <w:rsid w:val="004D7E4F"/>
    <w:rsid w:val="004E2C68"/>
    <w:rsid w:val="004E2EBE"/>
    <w:rsid w:val="004E3019"/>
    <w:rsid w:val="004E3093"/>
    <w:rsid w:val="004E361A"/>
    <w:rsid w:val="004E3728"/>
    <w:rsid w:val="004E3EE6"/>
    <w:rsid w:val="004E4324"/>
    <w:rsid w:val="004E48C2"/>
    <w:rsid w:val="004E4D7B"/>
    <w:rsid w:val="004E4DEF"/>
    <w:rsid w:val="004E5E00"/>
    <w:rsid w:val="004E6BED"/>
    <w:rsid w:val="004E70DE"/>
    <w:rsid w:val="004E722D"/>
    <w:rsid w:val="004E78C7"/>
    <w:rsid w:val="004E7B22"/>
    <w:rsid w:val="004E7EAA"/>
    <w:rsid w:val="004F0834"/>
    <w:rsid w:val="004F0A63"/>
    <w:rsid w:val="004F1157"/>
    <w:rsid w:val="004F1198"/>
    <w:rsid w:val="004F13ED"/>
    <w:rsid w:val="004F15F3"/>
    <w:rsid w:val="004F256A"/>
    <w:rsid w:val="004F2581"/>
    <w:rsid w:val="004F26E6"/>
    <w:rsid w:val="004F287E"/>
    <w:rsid w:val="004F29D8"/>
    <w:rsid w:val="004F40E3"/>
    <w:rsid w:val="004F424E"/>
    <w:rsid w:val="004F4C9B"/>
    <w:rsid w:val="004F5498"/>
    <w:rsid w:val="004F5AE4"/>
    <w:rsid w:val="004F5EBF"/>
    <w:rsid w:val="004F5F94"/>
    <w:rsid w:val="004F617D"/>
    <w:rsid w:val="004F618D"/>
    <w:rsid w:val="004F64A0"/>
    <w:rsid w:val="004F689D"/>
    <w:rsid w:val="004F6B34"/>
    <w:rsid w:val="004F792B"/>
    <w:rsid w:val="00500331"/>
    <w:rsid w:val="00500512"/>
    <w:rsid w:val="00500CAA"/>
    <w:rsid w:val="005012F5"/>
    <w:rsid w:val="00501987"/>
    <w:rsid w:val="00501A7F"/>
    <w:rsid w:val="00502187"/>
    <w:rsid w:val="005022C9"/>
    <w:rsid w:val="00502887"/>
    <w:rsid w:val="00502D81"/>
    <w:rsid w:val="00503929"/>
    <w:rsid w:val="005040E2"/>
    <w:rsid w:val="00504B6E"/>
    <w:rsid w:val="005051A6"/>
    <w:rsid w:val="005056CD"/>
    <w:rsid w:val="00505A1A"/>
    <w:rsid w:val="00505D7F"/>
    <w:rsid w:val="00505EBC"/>
    <w:rsid w:val="00506CA6"/>
    <w:rsid w:val="0050774D"/>
    <w:rsid w:val="005104A2"/>
    <w:rsid w:val="00510A5E"/>
    <w:rsid w:val="00510C00"/>
    <w:rsid w:val="00510FDD"/>
    <w:rsid w:val="005125C2"/>
    <w:rsid w:val="00512953"/>
    <w:rsid w:val="00512FAA"/>
    <w:rsid w:val="00513BD2"/>
    <w:rsid w:val="00513C21"/>
    <w:rsid w:val="0051416A"/>
    <w:rsid w:val="00514711"/>
    <w:rsid w:val="00515BEF"/>
    <w:rsid w:val="00515F7C"/>
    <w:rsid w:val="005162EF"/>
    <w:rsid w:val="0051705E"/>
    <w:rsid w:val="00517C2A"/>
    <w:rsid w:val="00517D5D"/>
    <w:rsid w:val="00520ADD"/>
    <w:rsid w:val="00521B59"/>
    <w:rsid w:val="005222AC"/>
    <w:rsid w:val="0052274C"/>
    <w:rsid w:val="00522D04"/>
    <w:rsid w:val="00522F67"/>
    <w:rsid w:val="00523278"/>
    <w:rsid w:val="00523DCF"/>
    <w:rsid w:val="005247C2"/>
    <w:rsid w:val="005253DF"/>
    <w:rsid w:val="0052565B"/>
    <w:rsid w:val="00525819"/>
    <w:rsid w:val="00525A29"/>
    <w:rsid w:val="00525A87"/>
    <w:rsid w:val="00525B9D"/>
    <w:rsid w:val="0052640F"/>
    <w:rsid w:val="00526590"/>
    <w:rsid w:val="00527498"/>
    <w:rsid w:val="00527EEE"/>
    <w:rsid w:val="005309AE"/>
    <w:rsid w:val="00531211"/>
    <w:rsid w:val="00531C73"/>
    <w:rsid w:val="00531E17"/>
    <w:rsid w:val="0053203F"/>
    <w:rsid w:val="005326D7"/>
    <w:rsid w:val="0053282E"/>
    <w:rsid w:val="00533436"/>
    <w:rsid w:val="00533527"/>
    <w:rsid w:val="00533BAE"/>
    <w:rsid w:val="00533C55"/>
    <w:rsid w:val="00534038"/>
    <w:rsid w:val="00534501"/>
    <w:rsid w:val="00534A39"/>
    <w:rsid w:val="00534CB1"/>
    <w:rsid w:val="00534F1A"/>
    <w:rsid w:val="005350D5"/>
    <w:rsid w:val="0053573C"/>
    <w:rsid w:val="00535E01"/>
    <w:rsid w:val="005366AB"/>
    <w:rsid w:val="0053730D"/>
    <w:rsid w:val="00537751"/>
    <w:rsid w:val="00540443"/>
    <w:rsid w:val="0054069B"/>
    <w:rsid w:val="00540C15"/>
    <w:rsid w:val="00540DA0"/>
    <w:rsid w:val="0054100C"/>
    <w:rsid w:val="005414B5"/>
    <w:rsid w:val="005417CE"/>
    <w:rsid w:val="00541AF2"/>
    <w:rsid w:val="005420C4"/>
    <w:rsid w:val="00542374"/>
    <w:rsid w:val="00542B17"/>
    <w:rsid w:val="00542B26"/>
    <w:rsid w:val="00542D6D"/>
    <w:rsid w:val="00542EDC"/>
    <w:rsid w:val="0054342D"/>
    <w:rsid w:val="005438E8"/>
    <w:rsid w:val="00543BDE"/>
    <w:rsid w:val="00544010"/>
    <w:rsid w:val="005445B7"/>
    <w:rsid w:val="00544FD2"/>
    <w:rsid w:val="0054650A"/>
    <w:rsid w:val="00547067"/>
    <w:rsid w:val="00547343"/>
    <w:rsid w:val="005476C0"/>
    <w:rsid w:val="00547EA6"/>
    <w:rsid w:val="00550316"/>
    <w:rsid w:val="005507C9"/>
    <w:rsid w:val="00550C39"/>
    <w:rsid w:val="00551025"/>
    <w:rsid w:val="00551BE3"/>
    <w:rsid w:val="00551D36"/>
    <w:rsid w:val="00551F1D"/>
    <w:rsid w:val="005523CD"/>
    <w:rsid w:val="00552D34"/>
    <w:rsid w:val="00553A86"/>
    <w:rsid w:val="00553BCB"/>
    <w:rsid w:val="00553E6A"/>
    <w:rsid w:val="00553F39"/>
    <w:rsid w:val="0055400D"/>
    <w:rsid w:val="00554365"/>
    <w:rsid w:val="0055490C"/>
    <w:rsid w:val="00554BAD"/>
    <w:rsid w:val="00554D0E"/>
    <w:rsid w:val="00555144"/>
    <w:rsid w:val="005558B9"/>
    <w:rsid w:val="00555F6D"/>
    <w:rsid w:val="005563AB"/>
    <w:rsid w:val="005564DD"/>
    <w:rsid w:val="00557013"/>
    <w:rsid w:val="00557337"/>
    <w:rsid w:val="005579A3"/>
    <w:rsid w:val="00557EC1"/>
    <w:rsid w:val="005600A8"/>
    <w:rsid w:val="00560663"/>
    <w:rsid w:val="00560D6F"/>
    <w:rsid w:val="00560ECA"/>
    <w:rsid w:val="00560EEC"/>
    <w:rsid w:val="00560F5F"/>
    <w:rsid w:val="0056149C"/>
    <w:rsid w:val="005614D5"/>
    <w:rsid w:val="005617D5"/>
    <w:rsid w:val="0056212C"/>
    <w:rsid w:val="00562321"/>
    <w:rsid w:val="0056275D"/>
    <w:rsid w:val="00562AAB"/>
    <w:rsid w:val="00562E29"/>
    <w:rsid w:val="00563092"/>
    <w:rsid w:val="005636FB"/>
    <w:rsid w:val="00563A66"/>
    <w:rsid w:val="005642B8"/>
    <w:rsid w:val="00564312"/>
    <w:rsid w:val="00564B0D"/>
    <w:rsid w:val="00565235"/>
    <w:rsid w:val="0056586C"/>
    <w:rsid w:val="00565D68"/>
    <w:rsid w:val="0056620B"/>
    <w:rsid w:val="0056627C"/>
    <w:rsid w:val="00566B7B"/>
    <w:rsid w:val="0056769B"/>
    <w:rsid w:val="00567EF9"/>
    <w:rsid w:val="00570357"/>
    <w:rsid w:val="005703B4"/>
    <w:rsid w:val="00570A65"/>
    <w:rsid w:val="00570B7A"/>
    <w:rsid w:val="00570CEC"/>
    <w:rsid w:val="005710B6"/>
    <w:rsid w:val="005711ED"/>
    <w:rsid w:val="005714DE"/>
    <w:rsid w:val="00572A2A"/>
    <w:rsid w:val="00573495"/>
    <w:rsid w:val="00573624"/>
    <w:rsid w:val="00574519"/>
    <w:rsid w:val="00574667"/>
    <w:rsid w:val="005748D0"/>
    <w:rsid w:val="00574BC4"/>
    <w:rsid w:val="00574BC9"/>
    <w:rsid w:val="00574C1C"/>
    <w:rsid w:val="00575330"/>
    <w:rsid w:val="005754F5"/>
    <w:rsid w:val="005762C8"/>
    <w:rsid w:val="00576C8C"/>
    <w:rsid w:val="00577271"/>
    <w:rsid w:val="005778D9"/>
    <w:rsid w:val="00580008"/>
    <w:rsid w:val="00580898"/>
    <w:rsid w:val="0058164D"/>
    <w:rsid w:val="005817DD"/>
    <w:rsid w:val="00581DCF"/>
    <w:rsid w:val="0058210D"/>
    <w:rsid w:val="0058225F"/>
    <w:rsid w:val="00582A13"/>
    <w:rsid w:val="00582A32"/>
    <w:rsid w:val="00582DBB"/>
    <w:rsid w:val="00582FBB"/>
    <w:rsid w:val="0058303D"/>
    <w:rsid w:val="00583210"/>
    <w:rsid w:val="005834F0"/>
    <w:rsid w:val="00583B13"/>
    <w:rsid w:val="00583B3A"/>
    <w:rsid w:val="00583C2D"/>
    <w:rsid w:val="00583D0C"/>
    <w:rsid w:val="00583DB6"/>
    <w:rsid w:val="0058490D"/>
    <w:rsid w:val="00584A5F"/>
    <w:rsid w:val="00584D71"/>
    <w:rsid w:val="00585112"/>
    <w:rsid w:val="0058545D"/>
    <w:rsid w:val="00585B29"/>
    <w:rsid w:val="00585D4A"/>
    <w:rsid w:val="00586712"/>
    <w:rsid w:val="00586C3D"/>
    <w:rsid w:val="00586E17"/>
    <w:rsid w:val="00586F87"/>
    <w:rsid w:val="0058725E"/>
    <w:rsid w:val="00587411"/>
    <w:rsid w:val="0058741E"/>
    <w:rsid w:val="00587D62"/>
    <w:rsid w:val="00587E52"/>
    <w:rsid w:val="00587E9E"/>
    <w:rsid w:val="00590894"/>
    <w:rsid w:val="005908B7"/>
    <w:rsid w:val="00590C9D"/>
    <w:rsid w:val="00590E21"/>
    <w:rsid w:val="00590F69"/>
    <w:rsid w:val="0059198B"/>
    <w:rsid w:val="00591AFF"/>
    <w:rsid w:val="00591F9C"/>
    <w:rsid w:val="00592659"/>
    <w:rsid w:val="00592BE5"/>
    <w:rsid w:val="00592D52"/>
    <w:rsid w:val="005936B4"/>
    <w:rsid w:val="00594A1B"/>
    <w:rsid w:val="005953EE"/>
    <w:rsid w:val="00595559"/>
    <w:rsid w:val="00596162"/>
    <w:rsid w:val="0059690C"/>
    <w:rsid w:val="00596ECF"/>
    <w:rsid w:val="00596FF0"/>
    <w:rsid w:val="0059717F"/>
    <w:rsid w:val="005972DD"/>
    <w:rsid w:val="00597D8A"/>
    <w:rsid w:val="005A0361"/>
    <w:rsid w:val="005A05FD"/>
    <w:rsid w:val="005A0E22"/>
    <w:rsid w:val="005A0E9F"/>
    <w:rsid w:val="005A14D3"/>
    <w:rsid w:val="005A18DA"/>
    <w:rsid w:val="005A21EF"/>
    <w:rsid w:val="005A2216"/>
    <w:rsid w:val="005A2280"/>
    <w:rsid w:val="005A22AF"/>
    <w:rsid w:val="005A2BEB"/>
    <w:rsid w:val="005A2EE9"/>
    <w:rsid w:val="005A2FF6"/>
    <w:rsid w:val="005A4170"/>
    <w:rsid w:val="005A4842"/>
    <w:rsid w:val="005A4AFA"/>
    <w:rsid w:val="005A5181"/>
    <w:rsid w:val="005A5C20"/>
    <w:rsid w:val="005A6061"/>
    <w:rsid w:val="005A6753"/>
    <w:rsid w:val="005A6C4B"/>
    <w:rsid w:val="005A7436"/>
    <w:rsid w:val="005A7F88"/>
    <w:rsid w:val="005B0AFC"/>
    <w:rsid w:val="005B0B71"/>
    <w:rsid w:val="005B0E35"/>
    <w:rsid w:val="005B1026"/>
    <w:rsid w:val="005B1131"/>
    <w:rsid w:val="005B133F"/>
    <w:rsid w:val="005B1B66"/>
    <w:rsid w:val="005B2ACE"/>
    <w:rsid w:val="005B2C72"/>
    <w:rsid w:val="005B38D8"/>
    <w:rsid w:val="005B3BAE"/>
    <w:rsid w:val="005B3CAB"/>
    <w:rsid w:val="005B4B83"/>
    <w:rsid w:val="005B52A3"/>
    <w:rsid w:val="005B5319"/>
    <w:rsid w:val="005B5A3F"/>
    <w:rsid w:val="005B5A42"/>
    <w:rsid w:val="005B6B3C"/>
    <w:rsid w:val="005B6B42"/>
    <w:rsid w:val="005B6D10"/>
    <w:rsid w:val="005B744D"/>
    <w:rsid w:val="005B77A0"/>
    <w:rsid w:val="005B7F33"/>
    <w:rsid w:val="005C0A87"/>
    <w:rsid w:val="005C0BB1"/>
    <w:rsid w:val="005C1A14"/>
    <w:rsid w:val="005C1B22"/>
    <w:rsid w:val="005C20A6"/>
    <w:rsid w:val="005C2478"/>
    <w:rsid w:val="005C27E8"/>
    <w:rsid w:val="005C367B"/>
    <w:rsid w:val="005C4799"/>
    <w:rsid w:val="005C48AD"/>
    <w:rsid w:val="005C48B9"/>
    <w:rsid w:val="005C4F36"/>
    <w:rsid w:val="005C583C"/>
    <w:rsid w:val="005C59A8"/>
    <w:rsid w:val="005C5CA5"/>
    <w:rsid w:val="005C60F4"/>
    <w:rsid w:val="005C6976"/>
    <w:rsid w:val="005C6D34"/>
    <w:rsid w:val="005C7095"/>
    <w:rsid w:val="005C72DC"/>
    <w:rsid w:val="005C7330"/>
    <w:rsid w:val="005C7502"/>
    <w:rsid w:val="005D07C2"/>
    <w:rsid w:val="005D0964"/>
    <w:rsid w:val="005D0A74"/>
    <w:rsid w:val="005D0D59"/>
    <w:rsid w:val="005D0FE1"/>
    <w:rsid w:val="005D16C1"/>
    <w:rsid w:val="005D1CAA"/>
    <w:rsid w:val="005D224C"/>
    <w:rsid w:val="005D29F5"/>
    <w:rsid w:val="005D31F9"/>
    <w:rsid w:val="005D3686"/>
    <w:rsid w:val="005D3997"/>
    <w:rsid w:val="005D441E"/>
    <w:rsid w:val="005D4689"/>
    <w:rsid w:val="005D4D44"/>
    <w:rsid w:val="005D5505"/>
    <w:rsid w:val="005D5BF1"/>
    <w:rsid w:val="005D5E19"/>
    <w:rsid w:val="005D613D"/>
    <w:rsid w:val="005D6D66"/>
    <w:rsid w:val="005E08FD"/>
    <w:rsid w:val="005E092E"/>
    <w:rsid w:val="005E09FC"/>
    <w:rsid w:val="005E1328"/>
    <w:rsid w:val="005E1F6D"/>
    <w:rsid w:val="005E2230"/>
    <w:rsid w:val="005E273B"/>
    <w:rsid w:val="005E27B9"/>
    <w:rsid w:val="005E3020"/>
    <w:rsid w:val="005E43F7"/>
    <w:rsid w:val="005E4774"/>
    <w:rsid w:val="005E4F88"/>
    <w:rsid w:val="005E5461"/>
    <w:rsid w:val="005E64FA"/>
    <w:rsid w:val="005E718F"/>
    <w:rsid w:val="005E7434"/>
    <w:rsid w:val="005E7506"/>
    <w:rsid w:val="005E7695"/>
    <w:rsid w:val="005E7810"/>
    <w:rsid w:val="005E78A0"/>
    <w:rsid w:val="005F00DB"/>
    <w:rsid w:val="005F083D"/>
    <w:rsid w:val="005F1123"/>
    <w:rsid w:val="005F11A1"/>
    <w:rsid w:val="005F28CC"/>
    <w:rsid w:val="005F2929"/>
    <w:rsid w:val="005F312E"/>
    <w:rsid w:val="005F33AD"/>
    <w:rsid w:val="005F33F1"/>
    <w:rsid w:val="005F3635"/>
    <w:rsid w:val="005F3B9B"/>
    <w:rsid w:val="005F41ED"/>
    <w:rsid w:val="005F4353"/>
    <w:rsid w:val="005F46CC"/>
    <w:rsid w:val="005F49DC"/>
    <w:rsid w:val="005F4B29"/>
    <w:rsid w:val="005F4E2C"/>
    <w:rsid w:val="005F513B"/>
    <w:rsid w:val="005F5808"/>
    <w:rsid w:val="005F5CF3"/>
    <w:rsid w:val="005F627A"/>
    <w:rsid w:val="005F62A2"/>
    <w:rsid w:val="005F6F92"/>
    <w:rsid w:val="005F7773"/>
    <w:rsid w:val="005F7A80"/>
    <w:rsid w:val="005F7C54"/>
    <w:rsid w:val="006005C0"/>
    <w:rsid w:val="0060063D"/>
    <w:rsid w:val="00600ED5"/>
    <w:rsid w:val="0060110F"/>
    <w:rsid w:val="0060185B"/>
    <w:rsid w:val="00601E5A"/>
    <w:rsid w:val="0060260D"/>
    <w:rsid w:val="006026D7"/>
    <w:rsid w:val="006032CE"/>
    <w:rsid w:val="00603422"/>
    <w:rsid w:val="00603654"/>
    <w:rsid w:val="0060388B"/>
    <w:rsid w:val="0060464D"/>
    <w:rsid w:val="006046F9"/>
    <w:rsid w:val="00604F56"/>
    <w:rsid w:val="006050E5"/>
    <w:rsid w:val="00605C3F"/>
    <w:rsid w:val="00605E08"/>
    <w:rsid w:val="00607091"/>
    <w:rsid w:val="006070B7"/>
    <w:rsid w:val="006078E5"/>
    <w:rsid w:val="006112E2"/>
    <w:rsid w:val="0061164D"/>
    <w:rsid w:val="00611811"/>
    <w:rsid w:val="00611BDC"/>
    <w:rsid w:val="00611F85"/>
    <w:rsid w:val="00612582"/>
    <w:rsid w:val="00613584"/>
    <w:rsid w:val="006146C4"/>
    <w:rsid w:val="00614E90"/>
    <w:rsid w:val="0061543A"/>
    <w:rsid w:val="00615E30"/>
    <w:rsid w:val="0061621E"/>
    <w:rsid w:val="00616A0E"/>
    <w:rsid w:val="00616BAD"/>
    <w:rsid w:val="00617509"/>
    <w:rsid w:val="006175F9"/>
    <w:rsid w:val="00617674"/>
    <w:rsid w:val="00617708"/>
    <w:rsid w:val="00617886"/>
    <w:rsid w:val="00617A42"/>
    <w:rsid w:val="00620378"/>
    <w:rsid w:val="006218CF"/>
    <w:rsid w:val="006223E4"/>
    <w:rsid w:val="00622865"/>
    <w:rsid w:val="00623098"/>
    <w:rsid w:val="0062309F"/>
    <w:rsid w:val="00623894"/>
    <w:rsid w:val="00623C0A"/>
    <w:rsid w:val="00624280"/>
    <w:rsid w:val="00624D2A"/>
    <w:rsid w:val="00625947"/>
    <w:rsid w:val="00626185"/>
    <w:rsid w:val="00626663"/>
    <w:rsid w:val="00627B00"/>
    <w:rsid w:val="00627B3B"/>
    <w:rsid w:val="00627CE5"/>
    <w:rsid w:val="00627DF5"/>
    <w:rsid w:val="00630625"/>
    <w:rsid w:val="006310C8"/>
    <w:rsid w:val="0063169D"/>
    <w:rsid w:val="006318EE"/>
    <w:rsid w:val="0063235D"/>
    <w:rsid w:val="0063245E"/>
    <w:rsid w:val="00632AEE"/>
    <w:rsid w:val="00633F27"/>
    <w:rsid w:val="00633F7E"/>
    <w:rsid w:val="006341BF"/>
    <w:rsid w:val="006345BB"/>
    <w:rsid w:val="006345CE"/>
    <w:rsid w:val="00635328"/>
    <w:rsid w:val="00635422"/>
    <w:rsid w:val="00635AB2"/>
    <w:rsid w:val="00635C7E"/>
    <w:rsid w:val="00635F42"/>
    <w:rsid w:val="0063640E"/>
    <w:rsid w:val="00636C7D"/>
    <w:rsid w:val="00636F34"/>
    <w:rsid w:val="006374D4"/>
    <w:rsid w:val="00640C82"/>
    <w:rsid w:val="00640E6E"/>
    <w:rsid w:val="00640EB6"/>
    <w:rsid w:val="006415FE"/>
    <w:rsid w:val="00641BFF"/>
    <w:rsid w:val="00642179"/>
    <w:rsid w:val="006421B1"/>
    <w:rsid w:val="00642657"/>
    <w:rsid w:val="00643FF1"/>
    <w:rsid w:val="006445D2"/>
    <w:rsid w:val="0064472F"/>
    <w:rsid w:val="00644ACE"/>
    <w:rsid w:val="00645076"/>
    <w:rsid w:val="00646485"/>
    <w:rsid w:val="006469A8"/>
    <w:rsid w:val="00646A0D"/>
    <w:rsid w:val="00646D4C"/>
    <w:rsid w:val="00646FBA"/>
    <w:rsid w:val="0064716A"/>
    <w:rsid w:val="00650D5B"/>
    <w:rsid w:val="00651BCA"/>
    <w:rsid w:val="006529E5"/>
    <w:rsid w:val="006530A1"/>
    <w:rsid w:val="00653C7E"/>
    <w:rsid w:val="00653D30"/>
    <w:rsid w:val="00654469"/>
    <w:rsid w:val="00654C2E"/>
    <w:rsid w:val="00656946"/>
    <w:rsid w:val="0066018D"/>
    <w:rsid w:val="0066082E"/>
    <w:rsid w:val="0066158C"/>
    <w:rsid w:val="006616C3"/>
    <w:rsid w:val="00661AC2"/>
    <w:rsid w:val="00661BE4"/>
    <w:rsid w:val="00661EAA"/>
    <w:rsid w:val="00662D5B"/>
    <w:rsid w:val="006635F3"/>
    <w:rsid w:val="006635F5"/>
    <w:rsid w:val="00663871"/>
    <w:rsid w:val="00663DBC"/>
    <w:rsid w:val="006643BC"/>
    <w:rsid w:val="006649FA"/>
    <w:rsid w:val="00664E2B"/>
    <w:rsid w:val="00664FAE"/>
    <w:rsid w:val="00665F58"/>
    <w:rsid w:val="00665FB9"/>
    <w:rsid w:val="00666162"/>
    <w:rsid w:val="0066644F"/>
    <w:rsid w:val="006666CC"/>
    <w:rsid w:val="006667D9"/>
    <w:rsid w:val="0066716D"/>
    <w:rsid w:val="00667A21"/>
    <w:rsid w:val="00667FEE"/>
    <w:rsid w:val="006716D1"/>
    <w:rsid w:val="00671802"/>
    <w:rsid w:val="00671CBC"/>
    <w:rsid w:val="006722D5"/>
    <w:rsid w:val="00672646"/>
    <w:rsid w:val="00672938"/>
    <w:rsid w:val="00672D60"/>
    <w:rsid w:val="00673560"/>
    <w:rsid w:val="00674338"/>
    <w:rsid w:val="0067439B"/>
    <w:rsid w:val="006743AE"/>
    <w:rsid w:val="00674701"/>
    <w:rsid w:val="00674E3B"/>
    <w:rsid w:val="00675A7B"/>
    <w:rsid w:val="006765BE"/>
    <w:rsid w:val="006766BA"/>
    <w:rsid w:val="00676C2F"/>
    <w:rsid w:val="00676D40"/>
    <w:rsid w:val="00676E01"/>
    <w:rsid w:val="00676F20"/>
    <w:rsid w:val="0067753B"/>
    <w:rsid w:val="00677878"/>
    <w:rsid w:val="00677B51"/>
    <w:rsid w:val="00677F00"/>
    <w:rsid w:val="0068027A"/>
    <w:rsid w:val="00680FEC"/>
    <w:rsid w:val="00680FED"/>
    <w:rsid w:val="006812AC"/>
    <w:rsid w:val="00681321"/>
    <w:rsid w:val="00681BDB"/>
    <w:rsid w:val="00682584"/>
    <w:rsid w:val="00682FCA"/>
    <w:rsid w:val="0068354B"/>
    <w:rsid w:val="0068365D"/>
    <w:rsid w:val="00683975"/>
    <w:rsid w:val="00683D04"/>
    <w:rsid w:val="00683FE4"/>
    <w:rsid w:val="006840C0"/>
    <w:rsid w:val="00684133"/>
    <w:rsid w:val="00684472"/>
    <w:rsid w:val="006844AA"/>
    <w:rsid w:val="00684C89"/>
    <w:rsid w:val="0068562A"/>
    <w:rsid w:val="0068582F"/>
    <w:rsid w:val="00685CBC"/>
    <w:rsid w:val="0068623F"/>
    <w:rsid w:val="00686F46"/>
    <w:rsid w:val="00687E54"/>
    <w:rsid w:val="0069002B"/>
    <w:rsid w:val="00690277"/>
    <w:rsid w:val="00690433"/>
    <w:rsid w:val="006905F6"/>
    <w:rsid w:val="00691816"/>
    <w:rsid w:val="00691C07"/>
    <w:rsid w:val="0069232D"/>
    <w:rsid w:val="0069239F"/>
    <w:rsid w:val="00693A68"/>
    <w:rsid w:val="00693B24"/>
    <w:rsid w:val="00693BA1"/>
    <w:rsid w:val="00694926"/>
    <w:rsid w:val="00694950"/>
    <w:rsid w:val="006949D7"/>
    <w:rsid w:val="00694F31"/>
    <w:rsid w:val="00695914"/>
    <w:rsid w:val="00695D28"/>
    <w:rsid w:val="00696466"/>
    <w:rsid w:val="00696A27"/>
    <w:rsid w:val="00696BE4"/>
    <w:rsid w:val="006A03B0"/>
    <w:rsid w:val="006A046F"/>
    <w:rsid w:val="006A0481"/>
    <w:rsid w:val="006A0D17"/>
    <w:rsid w:val="006A15A7"/>
    <w:rsid w:val="006A26C0"/>
    <w:rsid w:val="006A2EA4"/>
    <w:rsid w:val="006A3700"/>
    <w:rsid w:val="006A5D83"/>
    <w:rsid w:val="006A60BB"/>
    <w:rsid w:val="006A64F1"/>
    <w:rsid w:val="006B18A2"/>
    <w:rsid w:val="006B250C"/>
    <w:rsid w:val="006B2573"/>
    <w:rsid w:val="006B2654"/>
    <w:rsid w:val="006B2762"/>
    <w:rsid w:val="006B31FC"/>
    <w:rsid w:val="006B3B21"/>
    <w:rsid w:val="006B4EB4"/>
    <w:rsid w:val="006B5575"/>
    <w:rsid w:val="006B5D00"/>
    <w:rsid w:val="006B5F68"/>
    <w:rsid w:val="006B601E"/>
    <w:rsid w:val="006B615B"/>
    <w:rsid w:val="006B6334"/>
    <w:rsid w:val="006C0659"/>
    <w:rsid w:val="006C0A90"/>
    <w:rsid w:val="006C0D92"/>
    <w:rsid w:val="006C0F43"/>
    <w:rsid w:val="006C1185"/>
    <w:rsid w:val="006C1285"/>
    <w:rsid w:val="006C243E"/>
    <w:rsid w:val="006C2CF6"/>
    <w:rsid w:val="006C32EA"/>
    <w:rsid w:val="006C37C4"/>
    <w:rsid w:val="006C39B1"/>
    <w:rsid w:val="006C3CCA"/>
    <w:rsid w:val="006C3F02"/>
    <w:rsid w:val="006C3F35"/>
    <w:rsid w:val="006C43BC"/>
    <w:rsid w:val="006C445A"/>
    <w:rsid w:val="006C474B"/>
    <w:rsid w:val="006C4D63"/>
    <w:rsid w:val="006C68C5"/>
    <w:rsid w:val="006D068A"/>
    <w:rsid w:val="006D0A72"/>
    <w:rsid w:val="006D0D98"/>
    <w:rsid w:val="006D103A"/>
    <w:rsid w:val="006D1060"/>
    <w:rsid w:val="006D10C8"/>
    <w:rsid w:val="006D15D9"/>
    <w:rsid w:val="006D1A1C"/>
    <w:rsid w:val="006D298E"/>
    <w:rsid w:val="006D3CBB"/>
    <w:rsid w:val="006D3D84"/>
    <w:rsid w:val="006D41F2"/>
    <w:rsid w:val="006D4765"/>
    <w:rsid w:val="006D4A4D"/>
    <w:rsid w:val="006D6444"/>
    <w:rsid w:val="006D6714"/>
    <w:rsid w:val="006D6792"/>
    <w:rsid w:val="006D73C8"/>
    <w:rsid w:val="006E0D3F"/>
    <w:rsid w:val="006E0E5D"/>
    <w:rsid w:val="006E0EAA"/>
    <w:rsid w:val="006E0EEB"/>
    <w:rsid w:val="006E1BEB"/>
    <w:rsid w:val="006E233C"/>
    <w:rsid w:val="006E25BC"/>
    <w:rsid w:val="006E2801"/>
    <w:rsid w:val="006E2A59"/>
    <w:rsid w:val="006E2BD9"/>
    <w:rsid w:val="006E3C41"/>
    <w:rsid w:val="006E401C"/>
    <w:rsid w:val="006E4108"/>
    <w:rsid w:val="006E418F"/>
    <w:rsid w:val="006E4B64"/>
    <w:rsid w:val="006E4C42"/>
    <w:rsid w:val="006E54CA"/>
    <w:rsid w:val="006E555A"/>
    <w:rsid w:val="006E5ACC"/>
    <w:rsid w:val="006E6661"/>
    <w:rsid w:val="006E6EE7"/>
    <w:rsid w:val="006F0116"/>
    <w:rsid w:val="006F01BB"/>
    <w:rsid w:val="006F0219"/>
    <w:rsid w:val="006F0E97"/>
    <w:rsid w:val="006F171C"/>
    <w:rsid w:val="006F2A84"/>
    <w:rsid w:val="006F332C"/>
    <w:rsid w:val="006F33A2"/>
    <w:rsid w:val="006F3CC2"/>
    <w:rsid w:val="006F5AD4"/>
    <w:rsid w:val="006F5BBB"/>
    <w:rsid w:val="006F5D36"/>
    <w:rsid w:val="006F5ECE"/>
    <w:rsid w:val="006F6EBF"/>
    <w:rsid w:val="006F710D"/>
    <w:rsid w:val="006F74F3"/>
    <w:rsid w:val="006F78D3"/>
    <w:rsid w:val="0070197B"/>
    <w:rsid w:val="00701E82"/>
    <w:rsid w:val="00701F93"/>
    <w:rsid w:val="00702B5E"/>
    <w:rsid w:val="007030C4"/>
    <w:rsid w:val="007036C8"/>
    <w:rsid w:val="00703924"/>
    <w:rsid w:val="007043C5"/>
    <w:rsid w:val="0070495F"/>
    <w:rsid w:val="00704B7F"/>
    <w:rsid w:val="007052C6"/>
    <w:rsid w:val="00705B12"/>
    <w:rsid w:val="007069E0"/>
    <w:rsid w:val="00706AFB"/>
    <w:rsid w:val="007070A2"/>
    <w:rsid w:val="00710603"/>
    <w:rsid w:val="00710C47"/>
    <w:rsid w:val="00711904"/>
    <w:rsid w:val="007119CD"/>
    <w:rsid w:val="00711F7D"/>
    <w:rsid w:val="007123AC"/>
    <w:rsid w:val="0071262C"/>
    <w:rsid w:val="007128CD"/>
    <w:rsid w:val="00712E21"/>
    <w:rsid w:val="007130B7"/>
    <w:rsid w:val="00713759"/>
    <w:rsid w:val="00714EF0"/>
    <w:rsid w:val="00715AA0"/>
    <w:rsid w:val="00715EDF"/>
    <w:rsid w:val="00716462"/>
    <w:rsid w:val="00716940"/>
    <w:rsid w:val="00717002"/>
    <w:rsid w:val="007176EF"/>
    <w:rsid w:val="00717722"/>
    <w:rsid w:val="00717CD7"/>
    <w:rsid w:val="00717E5E"/>
    <w:rsid w:val="00721141"/>
    <w:rsid w:val="0072133B"/>
    <w:rsid w:val="007219C2"/>
    <w:rsid w:val="00721A15"/>
    <w:rsid w:val="00721BE5"/>
    <w:rsid w:val="00722708"/>
    <w:rsid w:val="0072279F"/>
    <w:rsid w:val="007227BF"/>
    <w:rsid w:val="00722861"/>
    <w:rsid w:val="00723526"/>
    <w:rsid w:val="00723659"/>
    <w:rsid w:val="0072367F"/>
    <w:rsid w:val="00723737"/>
    <w:rsid w:val="007239D6"/>
    <w:rsid w:val="00723AE9"/>
    <w:rsid w:val="00723ED2"/>
    <w:rsid w:val="00724144"/>
    <w:rsid w:val="00724557"/>
    <w:rsid w:val="00725042"/>
    <w:rsid w:val="007250FA"/>
    <w:rsid w:val="00725BB8"/>
    <w:rsid w:val="0072634A"/>
    <w:rsid w:val="00727109"/>
    <w:rsid w:val="00727378"/>
    <w:rsid w:val="007276AB"/>
    <w:rsid w:val="00727C04"/>
    <w:rsid w:val="007312B2"/>
    <w:rsid w:val="00731C32"/>
    <w:rsid w:val="0073253B"/>
    <w:rsid w:val="0073289A"/>
    <w:rsid w:val="00733422"/>
    <w:rsid w:val="00734282"/>
    <w:rsid w:val="0073432E"/>
    <w:rsid w:val="007345E6"/>
    <w:rsid w:val="00734FBB"/>
    <w:rsid w:val="00735880"/>
    <w:rsid w:val="007358B2"/>
    <w:rsid w:val="00735A7E"/>
    <w:rsid w:val="00735C90"/>
    <w:rsid w:val="00736ACA"/>
    <w:rsid w:val="00736EF0"/>
    <w:rsid w:val="007374D7"/>
    <w:rsid w:val="00737B0D"/>
    <w:rsid w:val="00737ED6"/>
    <w:rsid w:val="00737F54"/>
    <w:rsid w:val="00740006"/>
    <w:rsid w:val="007408B8"/>
    <w:rsid w:val="00740EFE"/>
    <w:rsid w:val="00741002"/>
    <w:rsid w:val="00741796"/>
    <w:rsid w:val="00741C09"/>
    <w:rsid w:val="00742407"/>
    <w:rsid w:val="007426F2"/>
    <w:rsid w:val="0074349B"/>
    <w:rsid w:val="007441C7"/>
    <w:rsid w:val="00745728"/>
    <w:rsid w:val="007458EC"/>
    <w:rsid w:val="00745BB6"/>
    <w:rsid w:val="007462DC"/>
    <w:rsid w:val="00746D38"/>
    <w:rsid w:val="007477D6"/>
    <w:rsid w:val="00747D35"/>
    <w:rsid w:val="007502CE"/>
    <w:rsid w:val="00750936"/>
    <w:rsid w:val="00751079"/>
    <w:rsid w:val="00751377"/>
    <w:rsid w:val="0075138E"/>
    <w:rsid w:val="007515FD"/>
    <w:rsid w:val="0075223F"/>
    <w:rsid w:val="007522D2"/>
    <w:rsid w:val="007524E4"/>
    <w:rsid w:val="0075357E"/>
    <w:rsid w:val="00753A12"/>
    <w:rsid w:val="00754221"/>
    <w:rsid w:val="007544A5"/>
    <w:rsid w:val="00754B8C"/>
    <w:rsid w:val="00754F4D"/>
    <w:rsid w:val="007555A9"/>
    <w:rsid w:val="00755B27"/>
    <w:rsid w:val="00756026"/>
    <w:rsid w:val="00756A23"/>
    <w:rsid w:val="00757120"/>
    <w:rsid w:val="00757265"/>
    <w:rsid w:val="00757D24"/>
    <w:rsid w:val="00757FD3"/>
    <w:rsid w:val="00757FF1"/>
    <w:rsid w:val="007600C4"/>
    <w:rsid w:val="0076062B"/>
    <w:rsid w:val="007615D9"/>
    <w:rsid w:val="007617A6"/>
    <w:rsid w:val="00761AE6"/>
    <w:rsid w:val="00762092"/>
    <w:rsid w:val="0076214C"/>
    <w:rsid w:val="0076265D"/>
    <w:rsid w:val="00762DAB"/>
    <w:rsid w:val="007647E3"/>
    <w:rsid w:val="00764B23"/>
    <w:rsid w:val="007653C3"/>
    <w:rsid w:val="00765AA3"/>
    <w:rsid w:val="00765CD2"/>
    <w:rsid w:val="00765D6E"/>
    <w:rsid w:val="007666B1"/>
    <w:rsid w:val="007675FA"/>
    <w:rsid w:val="00767DF1"/>
    <w:rsid w:val="00772AB9"/>
    <w:rsid w:val="0077406E"/>
    <w:rsid w:val="0077440B"/>
    <w:rsid w:val="00774D00"/>
    <w:rsid w:val="00775275"/>
    <w:rsid w:val="00775CA0"/>
    <w:rsid w:val="00775F3F"/>
    <w:rsid w:val="00776089"/>
    <w:rsid w:val="00777161"/>
    <w:rsid w:val="007774F9"/>
    <w:rsid w:val="0078027B"/>
    <w:rsid w:val="00780378"/>
    <w:rsid w:val="00780DC5"/>
    <w:rsid w:val="00781832"/>
    <w:rsid w:val="00781909"/>
    <w:rsid w:val="00781EE4"/>
    <w:rsid w:val="00782AF1"/>
    <w:rsid w:val="00782C3D"/>
    <w:rsid w:val="00782D9B"/>
    <w:rsid w:val="00783FFD"/>
    <w:rsid w:val="00783FFF"/>
    <w:rsid w:val="00784029"/>
    <w:rsid w:val="007848A5"/>
    <w:rsid w:val="00784CE0"/>
    <w:rsid w:val="007852F1"/>
    <w:rsid w:val="00785496"/>
    <w:rsid w:val="007861F3"/>
    <w:rsid w:val="00786530"/>
    <w:rsid w:val="007868BF"/>
    <w:rsid w:val="0078766E"/>
    <w:rsid w:val="00787C8E"/>
    <w:rsid w:val="007903C5"/>
    <w:rsid w:val="00790C40"/>
    <w:rsid w:val="00790CC7"/>
    <w:rsid w:val="007911A9"/>
    <w:rsid w:val="007913D1"/>
    <w:rsid w:val="00791504"/>
    <w:rsid w:val="00791D94"/>
    <w:rsid w:val="00792207"/>
    <w:rsid w:val="007923CD"/>
    <w:rsid w:val="007924C6"/>
    <w:rsid w:val="0079264A"/>
    <w:rsid w:val="00793472"/>
    <w:rsid w:val="00793CA6"/>
    <w:rsid w:val="007940E9"/>
    <w:rsid w:val="00794D7E"/>
    <w:rsid w:val="00794D90"/>
    <w:rsid w:val="00794FEE"/>
    <w:rsid w:val="007952EB"/>
    <w:rsid w:val="0079589A"/>
    <w:rsid w:val="00795FD5"/>
    <w:rsid w:val="00796FAC"/>
    <w:rsid w:val="007A011E"/>
    <w:rsid w:val="007A0E4F"/>
    <w:rsid w:val="007A0F88"/>
    <w:rsid w:val="007A1953"/>
    <w:rsid w:val="007A1BE1"/>
    <w:rsid w:val="007A1E63"/>
    <w:rsid w:val="007A2603"/>
    <w:rsid w:val="007A3293"/>
    <w:rsid w:val="007A3B1A"/>
    <w:rsid w:val="007A417C"/>
    <w:rsid w:val="007A4FDA"/>
    <w:rsid w:val="007A548D"/>
    <w:rsid w:val="007A54A5"/>
    <w:rsid w:val="007A55D7"/>
    <w:rsid w:val="007A5DA5"/>
    <w:rsid w:val="007A66AF"/>
    <w:rsid w:val="007A7121"/>
    <w:rsid w:val="007A71BD"/>
    <w:rsid w:val="007A7373"/>
    <w:rsid w:val="007A7E3C"/>
    <w:rsid w:val="007B021C"/>
    <w:rsid w:val="007B06C9"/>
    <w:rsid w:val="007B098D"/>
    <w:rsid w:val="007B2CD9"/>
    <w:rsid w:val="007B3166"/>
    <w:rsid w:val="007B32BB"/>
    <w:rsid w:val="007B3C3E"/>
    <w:rsid w:val="007B4A34"/>
    <w:rsid w:val="007B5A01"/>
    <w:rsid w:val="007B6571"/>
    <w:rsid w:val="007B6B20"/>
    <w:rsid w:val="007B6B98"/>
    <w:rsid w:val="007B6F83"/>
    <w:rsid w:val="007B7293"/>
    <w:rsid w:val="007B7E10"/>
    <w:rsid w:val="007C07FA"/>
    <w:rsid w:val="007C0F9B"/>
    <w:rsid w:val="007C103A"/>
    <w:rsid w:val="007C116D"/>
    <w:rsid w:val="007C16FF"/>
    <w:rsid w:val="007C1B2C"/>
    <w:rsid w:val="007C25FA"/>
    <w:rsid w:val="007C26FA"/>
    <w:rsid w:val="007C27B0"/>
    <w:rsid w:val="007C2B97"/>
    <w:rsid w:val="007C3972"/>
    <w:rsid w:val="007C4081"/>
    <w:rsid w:val="007C418C"/>
    <w:rsid w:val="007C55A4"/>
    <w:rsid w:val="007C5697"/>
    <w:rsid w:val="007C5A67"/>
    <w:rsid w:val="007C6DCB"/>
    <w:rsid w:val="007C6DE6"/>
    <w:rsid w:val="007C7169"/>
    <w:rsid w:val="007C7AF0"/>
    <w:rsid w:val="007C7F7E"/>
    <w:rsid w:val="007D0B97"/>
    <w:rsid w:val="007D10AE"/>
    <w:rsid w:val="007D1613"/>
    <w:rsid w:val="007D28BD"/>
    <w:rsid w:val="007D304F"/>
    <w:rsid w:val="007D313F"/>
    <w:rsid w:val="007D3277"/>
    <w:rsid w:val="007D33F7"/>
    <w:rsid w:val="007D378B"/>
    <w:rsid w:val="007D40A7"/>
    <w:rsid w:val="007D551C"/>
    <w:rsid w:val="007D58A0"/>
    <w:rsid w:val="007D6616"/>
    <w:rsid w:val="007D6690"/>
    <w:rsid w:val="007D6A59"/>
    <w:rsid w:val="007D6BFB"/>
    <w:rsid w:val="007D77AE"/>
    <w:rsid w:val="007D77E1"/>
    <w:rsid w:val="007D7A22"/>
    <w:rsid w:val="007D7A7E"/>
    <w:rsid w:val="007D7AEB"/>
    <w:rsid w:val="007E00AE"/>
    <w:rsid w:val="007E19B1"/>
    <w:rsid w:val="007E2015"/>
    <w:rsid w:val="007E21A5"/>
    <w:rsid w:val="007E229A"/>
    <w:rsid w:val="007E2751"/>
    <w:rsid w:val="007E2766"/>
    <w:rsid w:val="007E2BF2"/>
    <w:rsid w:val="007E35D9"/>
    <w:rsid w:val="007E36C8"/>
    <w:rsid w:val="007E4550"/>
    <w:rsid w:val="007E4712"/>
    <w:rsid w:val="007E4917"/>
    <w:rsid w:val="007E57FD"/>
    <w:rsid w:val="007E690E"/>
    <w:rsid w:val="007E709C"/>
    <w:rsid w:val="007E78EF"/>
    <w:rsid w:val="007E7D1A"/>
    <w:rsid w:val="007F062B"/>
    <w:rsid w:val="007F063E"/>
    <w:rsid w:val="007F076C"/>
    <w:rsid w:val="007F0823"/>
    <w:rsid w:val="007F0ABD"/>
    <w:rsid w:val="007F0C06"/>
    <w:rsid w:val="007F0E2E"/>
    <w:rsid w:val="007F20B1"/>
    <w:rsid w:val="007F2129"/>
    <w:rsid w:val="007F28DD"/>
    <w:rsid w:val="007F2AB6"/>
    <w:rsid w:val="007F38CE"/>
    <w:rsid w:val="007F3BE5"/>
    <w:rsid w:val="007F3C8F"/>
    <w:rsid w:val="007F3C9A"/>
    <w:rsid w:val="007F4325"/>
    <w:rsid w:val="007F4557"/>
    <w:rsid w:val="007F53A1"/>
    <w:rsid w:val="007F5776"/>
    <w:rsid w:val="007F5B12"/>
    <w:rsid w:val="007F5C3B"/>
    <w:rsid w:val="007F5CC3"/>
    <w:rsid w:val="007F5F0F"/>
    <w:rsid w:val="007F630F"/>
    <w:rsid w:val="007F6C26"/>
    <w:rsid w:val="007F6D3C"/>
    <w:rsid w:val="007F7805"/>
    <w:rsid w:val="007F7912"/>
    <w:rsid w:val="007F7D45"/>
    <w:rsid w:val="0080028E"/>
    <w:rsid w:val="008004D9"/>
    <w:rsid w:val="00800868"/>
    <w:rsid w:val="00800D38"/>
    <w:rsid w:val="0080156A"/>
    <w:rsid w:val="008019A8"/>
    <w:rsid w:val="00801E1E"/>
    <w:rsid w:val="00801EDC"/>
    <w:rsid w:val="00802495"/>
    <w:rsid w:val="008026B1"/>
    <w:rsid w:val="008036A7"/>
    <w:rsid w:val="00803BE2"/>
    <w:rsid w:val="0080408B"/>
    <w:rsid w:val="00804665"/>
    <w:rsid w:val="0080488E"/>
    <w:rsid w:val="008049BD"/>
    <w:rsid w:val="00804BA6"/>
    <w:rsid w:val="0080522F"/>
    <w:rsid w:val="0080660E"/>
    <w:rsid w:val="00806919"/>
    <w:rsid w:val="00806FE8"/>
    <w:rsid w:val="0080758D"/>
    <w:rsid w:val="0080772F"/>
    <w:rsid w:val="00810628"/>
    <w:rsid w:val="00811382"/>
    <w:rsid w:val="008114C1"/>
    <w:rsid w:val="0081154A"/>
    <w:rsid w:val="008115CF"/>
    <w:rsid w:val="00811DCB"/>
    <w:rsid w:val="008125DF"/>
    <w:rsid w:val="008132DC"/>
    <w:rsid w:val="0081381A"/>
    <w:rsid w:val="00813B7B"/>
    <w:rsid w:val="0081432B"/>
    <w:rsid w:val="00814C20"/>
    <w:rsid w:val="0081533C"/>
    <w:rsid w:val="00815819"/>
    <w:rsid w:val="00815E74"/>
    <w:rsid w:val="00816124"/>
    <w:rsid w:val="00816244"/>
    <w:rsid w:val="00816387"/>
    <w:rsid w:val="00816835"/>
    <w:rsid w:val="00816A3C"/>
    <w:rsid w:val="00816AF3"/>
    <w:rsid w:val="00816C40"/>
    <w:rsid w:val="00817211"/>
    <w:rsid w:val="0081725E"/>
    <w:rsid w:val="00817633"/>
    <w:rsid w:val="00817864"/>
    <w:rsid w:val="008179D5"/>
    <w:rsid w:val="00820311"/>
    <w:rsid w:val="00821059"/>
    <w:rsid w:val="0082161C"/>
    <w:rsid w:val="008216AA"/>
    <w:rsid w:val="0082174A"/>
    <w:rsid w:val="00821D24"/>
    <w:rsid w:val="00822787"/>
    <w:rsid w:val="00822ADB"/>
    <w:rsid w:val="00822CE5"/>
    <w:rsid w:val="008231B4"/>
    <w:rsid w:val="008231B8"/>
    <w:rsid w:val="00823A8F"/>
    <w:rsid w:val="00823CC4"/>
    <w:rsid w:val="00824B2F"/>
    <w:rsid w:val="00824C24"/>
    <w:rsid w:val="008255C0"/>
    <w:rsid w:val="00825B72"/>
    <w:rsid w:val="00826322"/>
    <w:rsid w:val="00826A72"/>
    <w:rsid w:val="00827A19"/>
    <w:rsid w:val="00827D7C"/>
    <w:rsid w:val="0083012C"/>
    <w:rsid w:val="00830338"/>
    <w:rsid w:val="00830713"/>
    <w:rsid w:val="00830794"/>
    <w:rsid w:val="00830C7F"/>
    <w:rsid w:val="0083149F"/>
    <w:rsid w:val="008319DE"/>
    <w:rsid w:val="00831FDF"/>
    <w:rsid w:val="008321B6"/>
    <w:rsid w:val="00832359"/>
    <w:rsid w:val="00832D17"/>
    <w:rsid w:val="00833686"/>
    <w:rsid w:val="008347BF"/>
    <w:rsid w:val="00834DE3"/>
    <w:rsid w:val="008352B1"/>
    <w:rsid w:val="00835614"/>
    <w:rsid w:val="00835877"/>
    <w:rsid w:val="00835DB9"/>
    <w:rsid w:val="00835FFB"/>
    <w:rsid w:val="0083602F"/>
    <w:rsid w:val="00836BC6"/>
    <w:rsid w:val="00836E87"/>
    <w:rsid w:val="0083700B"/>
    <w:rsid w:val="00837123"/>
    <w:rsid w:val="00840B95"/>
    <w:rsid w:val="00840D33"/>
    <w:rsid w:val="008419AB"/>
    <w:rsid w:val="008427DA"/>
    <w:rsid w:val="00842A9B"/>
    <w:rsid w:val="00843108"/>
    <w:rsid w:val="00843852"/>
    <w:rsid w:val="0084394B"/>
    <w:rsid w:val="00843DB2"/>
    <w:rsid w:val="0084429C"/>
    <w:rsid w:val="00845FA8"/>
    <w:rsid w:val="008464F6"/>
    <w:rsid w:val="0084664F"/>
    <w:rsid w:val="00846F1B"/>
    <w:rsid w:val="008470EA"/>
    <w:rsid w:val="00847203"/>
    <w:rsid w:val="00847565"/>
    <w:rsid w:val="008502EC"/>
    <w:rsid w:val="00850823"/>
    <w:rsid w:val="0085095F"/>
    <w:rsid w:val="00851B2E"/>
    <w:rsid w:val="00851D2F"/>
    <w:rsid w:val="00852598"/>
    <w:rsid w:val="00852B73"/>
    <w:rsid w:val="008531CB"/>
    <w:rsid w:val="008540CC"/>
    <w:rsid w:val="0085422E"/>
    <w:rsid w:val="00854626"/>
    <w:rsid w:val="008547A7"/>
    <w:rsid w:val="00854CF4"/>
    <w:rsid w:val="008554BD"/>
    <w:rsid w:val="0085590B"/>
    <w:rsid w:val="00856131"/>
    <w:rsid w:val="00856624"/>
    <w:rsid w:val="008601F2"/>
    <w:rsid w:val="008608BD"/>
    <w:rsid w:val="008609AE"/>
    <w:rsid w:val="00861097"/>
    <w:rsid w:val="008611C8"/>
    <w:rsid w:val="00861C81"/>
    <w:rsid w:val="0086282A"/>
    <w:rsid w:val="00862981"/>
    <w:rsid w:val="00862BA1"/>
    <w:rsid w:val="00862F8E"/>
    <w:rsid w:val="00863FBB"/>
    <w:rsid w:val="00864049"/>
    <w:rsid w:val="00864DB5"/>
    <w:rsid w:val="00864FBC"/>
    <w:rsid w:val="00866639"/>
    <w:rsid w:val="0086764A"/>
    <w:rsid w:val="00867A56"/>
    <w:rsid w:val="00867DE8"/>
    <w:rsid w:val="0087096F"/>
    <w:rsid w:val="00870DBB"/>
    <w:rsid w:val="00871824"/>
    <w:rsid w:val="008721FF"/>
    <w:rsid w:val="0087292B"/>
    <w:rsid w:val="00872AB0"/>
    <w:rsid w:val="00873181"/>
    <w:rsid w:val="0087405F"/>
    <w:rsid w:val="008746D8"/>
    <w:rsid w:val="00874E01"/>
    <w:rsid w:val="0087592D"/>
    <w:rsid w:val="00875C75"/>
    <w:rsid w:val="00876E76"/>
    <w:rsid w:val="008774D9"/>
    <w:rsid w:val="0087789E"/>
    <w:rsid w:val="00877FFC"/>
    <w:rsid w:val="00880211"/>
    <w:rsid w:val="008824A5"/>
    <w:rsid w:val="00883714"/>
    <w:rsid w:val="00883879"/>
    <w:rsid w:val="00883CCE"/>
    <w:rsid w:val="008846F5"/>
    <w:rsid w:val="00884764"/>
    <w:rsid w:val="00884815"/>
    <w:rsid w:val="008856C0"/>
    <w:rsid w:val="00885DC2"/>
    <w:rsid w:val="008861B5"/>
    <w:rsid w:val="0088662A"/>
    <w:rsid w:val="00886861"/>
    <w:rsid w:val="00886F4B"/>
    <w:rsid w:val="008902E0"/>
    <w:rsid w:val="0089069A"/>
    <w:rsid w:val="008906DA"/>
    <w:rsid w:val="00890D55"/>
    <w:rsid w:val="008910DD"/>
    <w:rsid w:val="0089148C"/>
    <w:rsid w:val="00891533"/>
    <w:rsid w:val="008918D7"/>
    <w:rsid w:val="00891AF9"/>
    <w:rsid w:val="00891B1E"/>
    <w:rsid w:val="00891C75"/>
    <w:rsid w:val="008925C8"/>
    <w:rsid w:val="00892766"/>
    <w:rsid w:val="008927F8"/>
    <w:rsid w:val="0089293C"/>
    <w:rsid w:val="00893A22"/>
    <w:rsid w:val="008949F8"/>
    <w:rsid w:val="00895760"/>
    <w:rsid w:val="00895AF1"/>
    <w:rsid w:val="00896E56"/>
    <w:rsid w:val="008974BB"/>
    <w:rsid w:val="00897529"/>
    <w:rsid w:val="00897570"/>
    <w:rsid w:val="00897650"/>
    <w:rsid w:val="00897FE7"/>
    <w:rsid w:val="008A0419"/>
    <w:rsid w:val="008A069B"/>
    <w:rsid w:val="008A076E"/>
    <w:rsid w:val="008A07AD"/>
    <w:rsid w:val="008A07FC"/>
    <w:rsid w:val="008A16FB"/>
    <w:rsid w:val="008A19D3"/>
    <w:rsid w:val="008A1EDC"/>
    <w:rsid w:val="008A2EF4"/>
    <w:rsid w:val="008A3EB8"/>
    <w:rsid w:val="008A41E3"/>
    <w:rsid w:val="008A4255"/>
    <w:rsid w:val="008A43B4"/>
    <w:rsid w:val="008A48E5"/>
    <w:rsid w:val="008A4F6E"/>
    <w:rsid w:val="008A51F3"/>
    <w:rsid w:val="008A67D5"/>
    <w:rsid w:val="008A6C97"/>
    <w:rsid w:val="008A731B"/>
    <w:rsid w:val="008A79D0"/>
    <w:rsid w:val="008A7FC0"/>
    <w:rsid w:val="008B0317"/>
    <w:rsid w:val="008B0505"/>
    <w:rsid w:val="008B0E31"/>
    <w:rsid w:val="008B11CA"/>
    <w:rsid w:val="008B1C1A"/>
    <w:rsid w:val="008B256E"/>
    <w:rsid w:val="008B2E56"/>
    <w:rsid w:val="008B2F56"/>
    <w:rsid w:val="008B2FEB"/>
    <w:rsid w:val="008B308D"/>
    <w:rsid w:val="008B3113"/>
    <w:rsid w:val="008B3A74"/>
    <w:rsid w:val="008B3C34"/>
    <w:rsid w:val="008B3C9D"/>
    <w:rsid w:val="008B4136"/>
    <w:rsid w:val="008B44E7"/>
    <w:rsid w:val="008B4522"/>
    <w:rsid w:val="008B47CA"/>
    <w:rsid w:val="008B592C"/>
    <w:rsid w:val="008B59C2"/>
    <w:rsid w:val="008B5D66"/>
    <w:rsid w:val="008B742C"/>
    <w:rsid w:val="008C0A9C"/>
    <w:rsid w:val="008C2FF6"/>
    <w:rsid w:val="008C33B2"/>
    <w:rsid w:val="008C35EB"/>
    <w:rsid w:val="008C3F62"/>
    <w:rsid w:val="008C4047"/>
    <w:rsid w:val="008C4466"/>
    <w:rsid w:val="008C4C23"/>
    <w:rsid w:val="008C4D36"/>
    <w:rsid w:val="008C54E7"/>
    <w:rsid w:val="008C57FB"/>
    <w:rsid w:val="008C6935"/>
    <w:rsid w:val="008C75D3"/>
    <w:rsid w:val="008C7669"/>
    <w:rsid w:val="008D0A12"/>
    <w:rsid w:val="008D170B"/>
    <w:rsid w:val="008D21E9"/>
    <w:rsid w:val="008D267D"/>
    <w:rsid w:val="008D37DF"/>
    <w:rsid w:val="008D39AD"/>
    <w:rsid w:val="008D4030"/>
    <w:rsid w:val="008D513D"/>
    <w:rsid w:val="008D5430"/>
    <w:rsid w:val="008D5F95"/>
    <w:rsid w:val="008D60E3"/>
    <w:rsid w:val="008D68D1"/>
    <w:rsid w:val="008D6B2C"/>
    <w:rsid w:val="008D717E"/>
    <w:rsid w:val="008D75B5"/>
    <w:rsid w:val="008E0107"/>
    <w:rsid w:val="008E0176"/>
    <w:rsid w:val="008E03C2"/>
    <w:rsid w:val="008E0460"/>
    <w:rsid w:val="008E1307"/>
    <w:rsid w:val="008E155F"/>
    <w:rsid w:val="008E1915"/>
    <w:rsid w:val="008E19E5"/>
    <w:rsid w:val="008E1CA1"/>
    <w:rsid w:val="008E364D"/>
    <w:rsid w:val="008E4DCB"/>
    <w:rsid w:val="008E4E00"/>
    <w:rsid w:val="008E4FC7"/>
    <w:rsid w:val="008E5088"/>
    <w:rsid w:val="008E513A"/>
    <w:rsid w:val="008E5155"/>
    <w:rsid w:val="008E5C22"/>
    <w:rsid w:val="008E60D9"/>
    <w:rsid w:val="008E6228"/>
    <w:rsid w:val="008E65CC"/>
    <w:rsid w:val="008E6A59"/>
    <w:rsid w:val="008E6C21"/>
    <w:rsid w:val="008E6DC1"/>
    <w:rsid w:val="008E763D"/>
    <w:rsid w:val="008E76BA"/>
    <w:rsid w:val="008F007E"/>
    <w:rsid w:val="008F09AA"/>
    <w:rsid w:val="008F0DD0"/>
    <w:rsid w:val="008F0DFC"/>
    <w:rsid w:val="008F106E"/>
    <w:rsid w:val="008F147E"/>
    <w:rsid w:val="008F15DD"/>
    <w:rsid w:val="008F37F7"/>
    <w:rsid w:val="008F4FD1"/>
    <w:rsid w:val="008F5058"/>
    <w:rsid w:val="008F5AB4"/>
    <w:rsid w:val="008F629D"/>
    <w:rsid w:val="008F659A"/>
    <w:rsid w:val="008F6718"/>
    <w:rsid w:val="008F6739"/>
    <w:rsid w:val="008F6D0C"/>
    <w:rsid w:val="008F6DAF"/>
    <w:rsid w:val="008F749A"/>
    <w:rsid w:val="008F7A89"/>
    <w:rsid w:val="00900695"/>
    <w:rsid w:val="00901BEF"/>
    <w:rsid w:val="00902661"/>
    <w:rsid w:val="009042EC"/>
    <w:rsid w:val="009048F4"/>
    <w:rsid w:val="009053B2"/>
    <w:rsid w:val="00905573"/>
    <w:rsid w:val="00905611"/>
    <w:rsid w:val="00905628"/>
    <w:rsid w:val="00906C06"/>
    <w:rsid w:val="0090708F"/>
    <w:rsid w:val="009077B9"/>
    <w:rsid w:val="00907FCA"/>
    <w:rsid w:val="00910564"/>
    <w:rsid w:val="009108E6"/>
    <w:rsid w:val="00911320"/>
    <w:rsid w:val="00911623"/>
    <w:rsid w:val="009116C5"/>
    <w:rsid w:val="00911816"/>
    <w:rsid w:val="00911D1E"/>
    <w:rsid w:val="0091209B"/>
    <w:rsid w:val="0091235A"/>
    <w:rsid w:val="0091265A"/>
    <w:rsid w:val="00912A2F"/>
    <w:rsid w:val="009133A6"/>
    <w:rsid w:val="00913489"/>
    <w:rsid w:val="0091415A"/>
    <w:rsid w:val="0091461C"/>
    <w:rsid w:val="00915A0D"/>
    <w:rsid w:val="00915C0D"/>
    <w:rsid w:val="00915E54"/>
    <w:rsid w:val="00915F19"/>
    <w:rsid w:val="0091648F"/>
    <w:rsid w:val="00916538"/>
    <w:rsid w:val="009169C4"/>
    <w:rsid w:val="00916F35"/>
    <w:rsid w:val="009174D7"/>
    <w:rsid w:val="009203A4"/>
    <w:rsid w:val="009207E2"/>
    <w:rsid w:val="0092187A"/>
    <w:rsid w:val="00921CE0"/>
    <w:rsid w:val="0092207F"/>
    <w:rsid w:val="009226C8"/>
    <w:rsid w:val="00922EFF"/>
    <w:rsid w:val="00923213"/>
    <w:rsid w:val="00923D3F"/>
    <w:rsid w:val="00924004"/>
    <w:rsid w:val="009244B5"/>
    <w:rsid w:val="00924D90"/>
    <w:rsid w:val="009259B1"/>
    <w:rsid w:val="00925DDC"/>
    <w:rsid w:val="009264FD"/>
    <w:rsid w:val="00926960"/>
    <w:rsid w:val="009269D7"/>
    <w:rsid w:val="009277BF"/>
    <w:rsid w:val="00927893"/>
    <w:rsid w:val="0092789A"/>
    <w:rsid w:val="00927EAF"/>
    <w:rsid w:val="00930A45"/>
    <w:rsid w:val="00930B4E"/>
    <w:rsid w:val="00930E37"/>
    <w:rsid w:val="0093154F"/>
    <w:rsid w:val="00931AF5"/>
    <w:rsid w:val="00932028"/>
    <w:rsid w:val="00932274"/>
    <w:rsid w:val="00932DC0"/>
    <w:rsid w:val="0093340B"/>
    <w:rsid w:val="0093387E"/>
    <w:rsid w:val="00933986"/>
    <w:rsid w:val="00933CF5"/>
    <w:rsid w:val="00934C59"/>
    <w:rsid w:val="009353A8"/>
    <w:rsid w:val="00935958"/>
    <w:rsid w:val="00935DCC"/>
    <w:rsid w:val="0093637E"/>
    <w:rsid w:val="009365D0"/>
    <w:rsid w:val="00936909"/>
    <w:rsid w:val="00937162"/>
    <w:rsid w:val="009372DB"/>
    <w:rsid w:val="00937D43"/>
    <w:rsid w:val="00937FE8"/>
    <w:rsid w:val="00940580"/>
    <w:rsid w:val="0094071D"/>
    <w:rsid w:val="00940AA1"/>
    <w:rsid w:val="00941A84"/>
    <w:rsid w:val="00942178"/>
    <w:rsid w:val="00942BE4"/>
    <w:rsid w:val="00942CB7"/>
    <w:rsid w:val="009431D6"/>
    <w:rsid w:val="00943DC7"/>
    <w:rsid w:val="00944A91"/>
    <w:rsid w:val="0094515F"/>
    <w:rsid w:val="0094571F"/>
    <w:rsid w:val="00945864"/>
    <w:rsid w:val="00945910"/>
    <w:rsid w:val="00945C3E"/>
    <w:rsid w:val="0094619C"/>
    <w:rsid w:val="00946C36"/>
    <w:rsid w:val="00947255"/>
    <w:rsid w:val="00947522"/>
    <w:rsid w:val="0094786E"/>
    <w:rsid w:val="009479E0"/>
    <w:rsid w:val="009504F5"/>
    <w:rsid w:val="00951C5A"/>
    <w:rsid w:val="00953EF4"/>
    <w:rsid w:val="00954DA3"/>
    <w:rsid w:val="00955B30"/>
    <w:rsid w:val="00955E27"/>
    <w:rsid w:val="00956109"/>
    <w:rsid w:val="00956222"/>
    <w:rsid w:val="0095662E"/>
    <w:rsid w:val="00956772"/>
    <w:rsid w:val="009579DE"/>
    <w:rsid w:val="00957A5C"/>
    <w:rsid w:val="00957B67"/>
    <w:rsid w:val="00957F02"/>
    <w:rsid w:val="00960109"/>
    <w:rsid w:val="00960983"/>
    <w:rsid w:val="00962CA5"/>
    <w:rsid w:val="00963380"/>
    <w:rsid w:val="009634BE"/>
    <w:rsid w:val="009635DF"/>
    <w:rsid w:val="009636C3"/>
    <w:rsid w:val="00963A7F"/>
    <w:rsid w:val="00963C8C"/>
    <w:rsid w:val="00963EFC"/>
    <w:rsid w:val="0096409D"/>
    <w:rsid w:val="009641ED"/>
    <w:rsid w:val="009644F8"/>
    <w:rsid w:val="0096508E"/>
    <w:rsid w:val="009662F2"/>
    <w:rsid w:val="0096665F"/>
    <w:rsid w:val="0096698C"/>
    <w:rsid w:val="00966C94"/>
    <w:rsid w:val="00970B05"/>
    <w:rsid w:val="00970E6B"/>
    <w:rsid w:val="00970EC8"/>
    <w:rsid w:val="00971279"/>
    <w:rsid w:val="00971298"/>
    <w:rsid w:val="0097151C"/>
    <w:rsid w:val="009717DD"/>
    <w:rsid w:val="00971BA7"/>
    <w:rsid w:val="00972709"/>
    <w:rsid w:val="00973123"/>
    <w:rsid w:val="00973951"/>
    <w:rsid w:val="0097431B"/>
    <w:rsid w:val="0097432F"/>
    <w:rsid w:val="00974406"/>
    <w:rsid w:val="00974C3B"/>
    <w:rsid w:val="00975690"/>
    <w:rsid w:val="00975843"/>
    <w:rsid w:val="009765CE"/>
    <w:rsid w:val="0097701E"/>
    <w:rsid w:val="00977432"/>
    <w:rsid w:val="00977798"/>
    <w:rsid w:val="00977988"/>
    <w:rsid w:val="009803CF"/>
    <w:rsid w:val="0098047B"/>
    <w:rsid w:val="0098075D"/>
    <w:rsid w:val="00980779"/>
    <w:rsid w:val="00980FC8"/>
    <w:rsid w:val="0098280F"/>
    <w:rsid w:val="0098364A"/>
    <w:rsid w:val="00984342"/>
    <w:rsid w:val="00984416"/>
    <w:rsid w:val="0098460A"/>
    <w:rsid w:val="00984FCD"/>
    <w:rsid w:val="00985136"/>
    <w:rsid w:val="009853F4"/>
    <w:rsid w:val="0098592B"/>
    <w:rsid w:val="00985AB2"/>
    <w:rsid w:val="009865C5"/>
    <w:rsid w:val="00987038"/>
    <w:rsid w:val="0098776F"/>
    <w:rsid w:val="00987945"/>
    <w:rsid w:val="00987C2D"/>
    <w:rsid w:val="00990468"/>
    <w:rsid w:val="00990514"/>
    <w:rsid w:val="009905E9"/>
    <w:rsid w:val="0099131A"/>
    <w:rsid w:val="00991CE7"/>
    <w:rsid w:val="00992A7F"/>
    <w:rsid w:val="00992C15"/>
    <w:rsid w:val="00992F03"/>
    <w:rsid w:val="009933C2"/>
    <w:rsid w:val="009937B8"/>
    <w:rsid w:val="009946E1"/>
    <w:rsid w:val="0099517E"/>
    <w:rsid w:val="00995559"/>
    <w:rsid w:val="0099568A"/>
    <w:rsid w:val="00995C32"/>
    <w:rsid w:val="00996F40"/>
    <w:rsid w:val="00997ADB"/>
    <w:rsid w:val="009A0051"/>
    <w:rsid w:val="009A0278"/>
    <w:rsid w:val="009A10C1"/>
    <w:rsid w:val="009A2667"/>
    <w:rsid w:val="009A3205"/>
    <w:rsid w:val="009A33EC"/>
    <w:rsid w:val="009A4152"/>
    <w:rsid w:val="009A442E"/>
    <w:rsid w:val="009A4F29"/>
    <w:rsid w:val="009A507B"/>
    <w:rsid w:val="009A54B2"/>
    <w:rsid w:val="009A59B4"/>
    <w:rsid w:val="009A5F13"/>
    <w:rsid w:val="009A6411"/>
    <w:rsid w:val="009A7D0C"/>
    <w:rsid w:val="009A7F25"/>
    <w:rsid w:val="009B0291"/>
    <w:rsid w:val="009B031D"/>
    <w:rsid w:val="009B07F3"/>
    <w:rsid w:val="009B0811"/>
    <w:rsid w:val="009B13B7"/>
    <w:rsid w:val="009B1801"/>
    <w:rsid w:val="009B1C9F"/>
    <w:rsid w:val="009B3F4B"/>
    <w:rsid w:val="009B404B"/>
    <w:rsid w:val="009B487E"/>
    <w:rsid w:val="009B4A08"/>
    <w:rsid w:val="009B4C53"/>
    <w:rsid w:val="009B525E"/>
    <w:rsid w:val="009B5359"/>
    <w:rsid w:val="009B536D"/>
    <w:rsid w:val="009B56F5"/>
    <w:rsid w:val="009B5813"/>
    <w:rsid w:val="009B591D"/>
    <w:rsid w:val="009B5AEF"/>
    <w:rsid w:val="009B5C88"/>
    <w:rsid w:val="009B5DFC"/>
    <w:rsid w:val="009B61E9"/>
    <w:rsid w:val="009B640E"/>
    <w:rsid w:val="009B6452"/>
    <w:rsid w:val="009B6859"/>
    <w:rsid w:val="009B68FA"/>
    <w:rsid w:val="009B6DFD"/>
    <w:rsid w:val="009B7652"/>
    <w:rsid w:val="009C06A0"/>
    <w:rsid w:val="009C1507"/>
    <w:rsid w:val="009C151B"/>
    <w:rsid w:val="009C21FE"/>
    <w:rsid w:val="009C2D9F"/>
    <w:rsid w:val="009C3178"/>
    <w:rsid w:val="009C3313"/>
    <w:rsid w:val="009C44B2"/>
    <w:rsid w:val="009C44B5"/>
    <w:rsid w:val="009C460F"/>
    <w:rsid w:val="009C4B64"/>
    <w:rsid w:val="009C5B0D"/>
    <w:rsid w:val="009C5CB7"/>
    <w:rsid w:val="009C6669"/>
    <w:rsid w:val="009C747D"/>
    <w:rsid w:val="009D02DD"/>
    <w:rsid w:val="009D0988"/>
    <w:rsid w:val="009D0D2A"/>
    <w:rsid w:val="009D101E"/>
    <w:rsid w:val="009D13E6"/>
    <w:rsid w:val="009D1D59"/>
    <w:rsid w:val="009D2080"/>
    <w:rsid w:val="009D275E"/>
    <w:rsid w:val="009D3971"/>
    <w:rsid w:val="009D49F5"/>
    <w:rsid w:val="009D4F45"/>
    <w:rsid w:val="009D5CC3"/>
    <w:rsid w:val="009D5CC5"/>
    <w:rsid w:val="009D6059"/>
    <w:rsid w:val="009D6A93"/>
    <w:rsid w:val="009D7342"/>
    <w:rsid w:val="009D749A"/>
    <w:rsid w:val="009E1A0E"/>
    <w:rsid w:val="009E2BBD"/>
    <w:rsid w:val="009E32EA"/>
    <w:rsid w:val="009E33F2"/>
    <w:rsid w:val="009E354D"/>
    <w:rsid w:val="009E3745"/>
    <w:rsid w:val="009E3CED"/>
    <w:rsid w:val="009E3FB8"/>
    <w:rsid w:val="009E436A"/>
    <w:rsid w:val="009E5884"/>
    <w:rsid w:val="009E5A1B"/>
    <w:rsid w:val="009E645E"/>
    <w:rsid w:val="009E6751"/>
    <w:rsid w:val="009E6B1E"/>
    <w:rsid w:val="009E7266"/>
    <w:rsid w:val="009E7D6A"/>
    <w:rsid w:val="009F0927"/>
    <w:rsid w:val="009F0930"/>
    <w:rsid w:val="009F0A90"/>
    <w:rsid w:val="009F0F8E"/>
    <w:rsid w:val="009F15E5"/>
    <w:rsid w:val="009F19C8"/>
    <w:rsid w:val="009F29F9"/>
    <w:rsid w:val="009F2DBC"/>
    <w:rsid w:val="009F2DC3"/>
    <w:rsid w:val="009F393E"/>
    <w:rsid w:val="009F3A9B"/>
    <w:rsid w:val="009F3BB4"/>
    <w:rsid w:val="009F3C63"/>
    <w:rsid w:val="009F4055"/>
    <w:rsid w:val="009F4748"/>
    <w:rsid w:val="009F4CEA"/>
    <w:rsid w:val="009F515A"/>
    <w:rsid w:val="009F5228"/>
    <w:rsid w:val="009F559D"/>
    <w:rsid w:val="009F5DC1"/>
    <w:rsid w:val="009F68C0"/>
    <w:rsid w:val="009F692B"/>
    <w:rsid w:val="009F7CA6"/>
    <w:rsid w:val="00A003B0"/>
    <w:rsid w:val="00A00D08"/>
    <w:rsid w:val="00A00E66"/>
    <w:rsid w:val="00A00F24"/>
    <w:rsid w:val="00A014BC"/>
    <w:rsid w:val="00A018BE"/>
    <w:rsid w:val="00A02630"/>
    <w:rsid w:val="00A0305F"/>
    <w:rsid w:val="00A0457D"/>
    <w:rsid w:val="00A05182"/>
    <w:rsid w:val="00A053A4"/>
    <w:rsid w:val="00A05D49"/>
    <w:rsid w:val="00A05D8F"/>
    <w:rsid w:val="00A05E4E"/>
    <w:rsid w:val="00A0730A"/>
    <w:rsid w:val="00A10AE1"/>
    <w:rsid w:val="00A12142"/>
    <w:rsid w:val="00A1246F"/>
    <w:rsid w:val="00A12A1A"/>
    <w:rsid w:val="00A12B0F"/>
    <w:rsid w:val="00A13469"/>
    <w:rsid w:val="00A13E38"/>
    <w:rsid w:val="00A14113"/>
    <w:rsid w:val="00A145BC"/>
    <w:rsid w:val="00A15096"/>
    <w:rsid w:val="00A15539"/>
    <w:rsid w:val="00A15C15"/>
    <w:rsid w:val="00A15C90"/>
    <w:rsid w:val="00A16073"/>
    <w:rsid w:val="00A16570"/>
    <w:rsid w:val="00A16A22"/>
    <w:rsid w:val="00A16D0C"/>
    <w:rsid w:val="00A1727B"/>
    <w:rsid w:val="00A17583"/>
    <w:rsid w:val="00A17645"/>
    <w:rsid w:val="00A200BE"/>
    <w:rsid w:val="00A20D0E"/>
    <w:rsid w:val="00A2109E"/>
    <w:rsid w:val="00A21747"/>
    <w:rsid w:val="00A219A6"/>
    <w:rsid w:val="00A227D7"/>
    <w:rsid w:val="00A22B21"/>
    <w:rsid w:val="00A22CBB"/>
    <w:rsid w:val="00A22D25"/>
    <w:rsid w:val="00A2308C"/>
    <w:rsid w:val="00A231E3"/>
    <w:rsid w:val="00A23FAB"/>
    <w:rsid w:val="00A24DB3"/>
    <w:rsid w:val="00A250FE"/>
    <w:rsid w:val="00A279F8"/>
    <w:rsid w:val="00A30080"/>
    <w:rsid w:val="00A31258"/>
    <w:rsid w:val="00A31CAF"/>
    <w:rsid w:val="00A3217E"/>
    <w:rsid w:val="00A321DB"/>
    <w:rsid w:val="00A32892"/>
    <w:rsid w:val="00A329F9"/>
    <w:rsid w:val="00A32D35"/>
    <w:rsid w:val="00A32E61"/>
    <w:rsid w:val="00A32FEA"/>
    <w:rsid w:val="00A3351B"/>
    <w:rsid w:val="00A337D5"/>
    <w:rsid w:val="00A33AA4"/>
    <w:rsid w:val="00A34A27"/>
    <w:rsid w:val="00A34C91"/>
    <w:rsid w:val="00A35050"/>
    <w:rsid w:val="00A35420"/>
    <w:rsid w:val="00A36811"/>
    <w:rsid w:val="00A3725A"/>
    <w:rsid w:val="00A376A2"/>
    <w:rsid w:val="00A4092B"/>
    <w:rsid w:val="00A40932"/>
    <w:rsid w:val="00A40D4F"/>
    <w:rsid w:val="00A414F5"/>
    <w:rsid w:val="00A41572"/>
    <w:rsid w:val="00A41693"/>
    <w:rsid w:val="00A4173D"/>
    <w:rsid w:val="00A42267"/>
    <w:rsid w:val="00A42297"/>
    <w:rsid w:val="00A422B2"/>
    <w:rsid w:val="00A42BC0"/>
    <w:rsid w:val="00A4303C"/>
    <w:rsid w:val="00A433E3"/>
    <w:rsid w:val="00A435C1"/>
    <w:rsid w:val="00A43DED"/>
    <w:rsid w:val="00A444FE"/>
    <w:rsid w:val="00A45896"/>
    <w:rsid w:val="00A46295"/>
    <w:rsid w:val="00A470F4"/>
    <w:rsid w:val="00A476E4"/>
    <w:rsid w:val="00A505EB"/>
    <w:rsid w:val="00A50D37"/>
    <w:rsid w:val="00A5111F"/>
    <w:rsid w:val="00A5143C"/>
    <w:rsid w:val="00A514B7"/>
    <w:rsid w:val="00A52C65"/>
    <w:rsid w:val="00A52E7A"/>
    <w:rsid w:val="00A531D3"/>
    <w:rsid w:val="00A544CF"/>
    <w:rsid w:val="00A54735"/>
    <w:rsid w:val="00A55A54"/>
    <w:rsid w:val="00A55DC5"/>
    <w:rsid w:val="00A5663C"/>
    <w:rsid w:val="00A57258"/>
    <w:rsid w:val="00A60304"/>
    <w:rsid w:val="00A604AC"/>
    <w:rsid w:val="00A60B3A"/>
    <w:rsid w:val="00A60C8C"/>
    <w:rsid w:val="00A61470"/>
    <w:rsid w:val="00A6167D"/>
    <w:rsid w:val="00A61ADB"/>
    <w:rsid w:val="00A61BBF"/>
    <w:rsid w:val="00A61F9C"/>
    <w:rsid w:val="00A6288E"/>
    <w:rsid w:val="00A62CA1"/>
    <w:rsid w:val="00A63735"/>
    <w:rsid w:val="00A642D4"/>
    <w:rsid w:val="00A647F0"/>
    <w:rsid w:val="00A6503F"/>
    <w:rsid w:val="00A651AA"/>
    <w:rsid w:val="00A65CAF"/>
    <w:rsid w:val="00A66FA8"/>
    <w:rsid w:val="00A671B9"/>
    <w:rsid w:val="00A671F3"/>
    <w:rsid w:val="00A67312"/>
    <w:rsid w:val="00A67565"/>
    <w:rsid w:val="00A7094D"/>
    <w:rsid w:val="00A70AB6"/>
    <w:rsid w:val="00A70B8F"/>
    <w:rsid w:val="00A70F61"/>
    <w:rsid w:val="00A71A6C"/>
    <w:rsid w:val="00A71CD2"/>
    <w:rsid w:val="00A7366E"/>
    <w:rsid w:val="00A73B63"/>
    <w:rsid w:val="00A73C75"/>
    <w:rsid w:val="00A741A9"/>
    <w:rsid w:val="00A74649"/>
    <w:rsid w:val="00A74A46"/>
    <w:rsid w:val="00A74B0D"/>
    <w:rsid w:val="00A75334"/>
    <w:rsid w:val="00A7636E"/>
    <w:rsid w:val="00A764B8"/>
    <w:rsid w:val="00A767AE"/>
    <w:rsid w:val="00A76AB0"/>
    <w:rsid w:val="00A76EDA"/>
    <w:rsid w:val="00A8214D"/>
    <w:rsid w:val="00A82F49"/>
    <w:rsid w:val="00A82F8F"/>
    <w:rsid w:val="00A8346B"/>
    <w:rsid w:val="00A83EFA"/>
    <w:rsid w:val="00A84472"/>
    <w:rsid w:val="00A84992"/>
    <w:rsid w:val="00A85107"/>
    <w:rsid w:val="00A8596C"/>
    <w:rsid w:val="00A861F2"/>
    <w:rsid w:val="00A868B0"/>
    <w:rsid w:val="00A86A8E"/>
    <w:rsid w:val="00A9024A"/>
    <w:rsid w:val="00A90B2A"/>
    <w:rsid w:val="00A911B7"/>
    <w:rsid w:val="00A91334"/>
    <w:rsid w:val="00A9176B"/>
    <w:rsid w:val="00A9209E"/>
    <w:rsid w:val="00A927D5"/>
    <w:rsid w:val="00A92DB8"/>
    <w:rsid w:val="00A93B31"/>
    <w:rsid w:val="00A94B24"/>
    <w:rsid w:val="00A94C7A"/>
    <w:rsid w:val="00A94DEF"/>
    <w:rsid w:val="00A94F10"/>
    <w:rsid w:val="00A94F47"/>
    <w:rsid w:val="00A9546C"/>
    <w:rsid w:val="00A956A6"/>
    <w:rsid w:val="00A9578D"/>
    <w:rsid w:val="00A959E0"/>
    <w:rsid w:val="00A959F5"/>
    <w:rsid w:val="00A95B72"/>
    <w:rsid w:val="00A972D5"/>
    <w:rsid w:val="00A97F20"/>
    <w:rsid w:val="00AA0D17"/>
    <w:rsid w:val="00AA156C"/>
    <w:rsid w:val="00AA236B"/>
    <w:rsid w:val="00AA2573"/>
    <w:rsid w:val="00AA3CA9"/>
    <w:rsid w:val="00AA49DE"/>
    <w:rsid w:val="00AA4A99"/>
    <w:rsid w:val="00AA55F9"/>
    <w:rsid w:val="00AA5B1F"/>
    <w:rsid w:val="00AA5F6D"/>
    <w:rsid w:val="00AA6670"/>
    <w:rsid w:val="00AA67C5"/>
    <w:rsid w:val="00AA7265"/>
    <w:rsid w:val="00AA76D3"/>
    <w:rsid w:val="00AA775A"/>
    <w:rsid w:val="00AA79A8"/>
    <w:rsid w:val="00AB05D2"/>
    <w:rsid w:val="00AB10C1"/>
    <w:rsid w:val="00AB157F"/>
    <w:rsid w:val="00AB1620"/>
    <w:rsid w:val="00AB1D51"/>
    <w:rsid w:val="00AB1EA4"/>
    <w:rsid w:val="00AB2A85"/>
    <w:rsid w:val="00AB2A9C"/>
    <w:rsid w:val="00AB3468"/>
    <w:rsid w:val="00AB3A32"/>
    <w:rsid w:val="00AB4C14"/>
    <w:rsid w:val="00AB599D"/>
    <w:rsid w:val="00AB5ECD"/>
    <w:rsid w:val="00AB7AF6"/>
    <w:rsid w:val="00AC02BA"/>
    <w:rsid w:val="00AC02ED"/>
    <w:rsid w:val="00AC06ED"/>
    <w:rsid w:val="00AC0E5F"/>
    <w:rsid w:val="00AC147F"/>
    <w:rsid w:val="00AC19A1"/>
    <w:rsid w:val="00AC32A8"/>
    <w:rsid w:val="00AC3549"/>
    <w:rsid w:val="00AC370E"/>
    <w:rsid w:val="00AC375B"/>
    <w:rsid w:val="00AC3A36"/>
    <w:rsid w:val="00AC4069"/>
    <w:rsid w:val="00AC4E92"/>
    <w:rsid w:val="00AC512B"/>
    <w:rsid w:val="00AC54EE"/>
    <w:rsid w:val="00AC5A04"/>
    <w:rsid w:val="00AC6656"/>
    <w:rsid w:val="00AC74CE"/>
    <w:rsid w:val="00AC7F59"/>
    <w:rsid w:val="00AD042C"/>
    <w:rsid w:val="00AD0B76"/>
    <w:rsid w:val="00AD0EDA"/>
    <w:rsid w:val="00AD19B2"/>
    <w:rsid w:val="00AD1B3A"/>
    <w:rsid w:val="00AD2226"/>
    <w:rsid w:val="00AD23B3"/>
    <w:rsid w:val="00AD279E"/>
    <w:rsid w:val="00AD3317"/>
    <w:rsid w:val="00AD385E"/>
    <w:rsid w:val="00AD3FDF"/>
    <w:rsid w:val="00AD4468"/>
    <w:rsid w:val="00AD4767"/>
    <w:rsid w:val="00AD4858"/>
    <w:rsid w:val="00AD4D9A"/>
    <w:rsid w:val="00AD6DC4"/>
    <w:rsid w:val="00AD742B"/>
    <w:rsid w:val="00AD74D5"/>
    <w:rsid w:val="00AD75BF"/>
    <w:rsid w:val="00AD7920"/>
    <w:rsid w:val="00AD7F2C"/>
    <w:rsid w:val="00AE0151"/>
    <w:rsid w:val="00AE03E6"/>
    <w:rsid w:val="00AE07CD"/>
    <w:rsid w:val="00AE1836"/>
    <w:rsid w:val="00AE1A5C"/>
    <w:rsid w:val="00AE1B85"/>
    <w:rsid w:val="00AE208E"/>
    <w:rsid w:val="00AE20E7"/>
    <w:rsid w:val="00AE24AA"/>
    <w:rsid w:val="00AE2715"/>
    <w:rsid w:val="00AE27FC"/>
    <w:rsid w:val="00AE281E"/>
    <w:rsid w:val="00AE38A3"/>
    <w:rsid w:val="00AE3A90"/>
    <w:rsid w:val="00AE442D"/>
    <w:rsid w:val="00AE45A5"/>
    <w:rsid w:val="00AE4779"/>
    <w:rsid w:val="00AE5B1E"/>
    <w:rsid w:val="00AE6BBC"/>
    <w:rsid w:val="00AE71D7"/>
    <w:rsid w:val="00AE7944"/>
    <w:rsid w:val="00AF0548"/>
    <w:rsid w:val="00AF10AA"/>
    <w:rsid w:val="00AF1B86"/>
    <w:rsid w:val="00AF1C1A"/>
    <w:rsid w:val="00AF1F9A"/>
    <w:rsid w:val="00AF20DC"/>
    <w:rsid w:val="00AF23AF"/>
    <w:rsid w:val="00AF2601"/>
    <w:rsid w:val="00AF2CBD"/>
    <w:rsid w:val="00AF334C"/>
    <w:rsid w:val="00AF3EA0"/>
    <w:rsid w:val="00AF3F2E"/>
    <w:rsid w:val="00AF417B"/>
    <w:rsid w:val="00AF4593"/>
    <w:rsid w:val="00AF4882"/>
    <w:rsid w:val="00AF4C8E"/>
    <w:rsid w:val="00AF4D72"/>
    <w:rsid w:val="00AF511F"/>
    <w:rsid w:val="00AF59EE"/>
    <w:rsid w:val="00AF5FEE"/>
    <w:rsid w:val="00AF6540"/>
    <w:rsid w:val="00AF6887"/>
    <w:rsid w:val="00AF6EE0"/>
    <w:rsid w:val="00AF7782"/>
    <w:rsid w:val="00B00A64"/>
    <w:rsid w:val="00B00C34"/>
    <w:rsid w:val="00B01384"/>
    <w:rsid w:val="00B01963"/>
    <w:rsid w:val="00B01C5B"/>
    <w:rsid w:val="00B0271B"/>
    <w:rsid w:val="00B02949"/>
    <w:rsid w:val="00B029A4"/>
    <w:rsid w:val="00B034E0"/>
    <w:rsid w:val="00B03700"/>
    <w:rsid w:val="00B04388"/>
    <w:rsid w:val="00B04DC5"/>
    <w:rsid w:val="00B05029"/>
    <w:rsid w:val="00B05D14"/>
    <w:rsid w:val="00B070AE"/>
    <w:rsid w:val="00B0714C"/>
    <w:rsid w:val="00B0732A"/>
    <w:rsid w:val="00B07773"/>
    <w:rsid w:val="00B07AC6"/>
    <w:rsid w:val="00B07BA0"/>
    <w:rsid w:val="00B102A0"/>
    <w:rsid w:val="00B10475"/>
    <w:rsid w:val="00B10564"/>
    <w:rsid w:val="00B1167F"/>
    <w:rsid w:val="00B11A2A"/>
    <w:rsid w:val="00B12F91"/>
    <w:rsid w:val="00B13C64"/>
    <w:rsid w:val="00B15534"/>
    <w:rsid w:val="00B15593"/>
    <w:rsid w:val="00B15D33"/>
    <w:rsid w:val="00B15F53"/>
    <w:rsid w:val="00B16299"/>
    <w:rsid w:val="00B163A0"/>
    <w:rsid w:val="00B1694C"/>
    <w:rsid w:val="00B16CD5"/>
    <w:rsid w:val="00B206EC"/>
    <w:rsid w:val="00B21825"/>
    <w:rsid w:val="00B21B24"/>
    <w:rsid w:val="00B21C28"/>
    <w:rsid w:val="00B21CA2"/>
    <w:rsid w:val="00B21EC4"/>
    <w:rsid w:val="00B2206A"/>
    <w:rsid w:val="00B22236"/>
    <w:rsid w:val="00B22BB6"/>
    <w:rsid w:val="00B23A6D"/>
    <w:rsid w:val="00B23B54"/>
    <w:rsid w:val="00B24C20"/>
    <w:rsid w:val="00B24CFA"/>
    <w:rsid w:val="00B26C48"/>
    <w:rsid w:val="00B27252"/>
    <w:rsid w:val="00B2744E"/>
    <w:rsid w:val="00B27604"/>
    <w:rsid w:val="00B30480"/>
    <w:rsid w:val="00B308B9"/>
    <w:rsid w:val="00B30D33"/>
    <w:rsid w:val="00B31E79"/>
    <w:rsid w:val="00B320DD"/>
    <w:rsid w:val="00B32775"/>
    <w:rsid w:val="00B32926"/>
    <w:rsid w:val="00B32FD5"/>
    <w:rsid w:val="00B33725"/>
    <w:rsid w:val="00B33AE6"/>
    <w:rsid w:val="00B33CE5"/>
    <w:rsid w:val="00B349B4"/>
    <w:rsid w:val="00B354A0"/>
    <w:rsid w:val="00B357A6"/>
    <w:rsid w:val="00B360E3"/>
    <w:rsid w:val="00B36A3E"/>
    <w:rsid w:val="00B36ED0"/>
    <w:rsid w:val="00B374FF"/>
    <w:rsid w:val="00B37E6D"/>
    <w:rsid w:val="00B40459"/>
    <w:rsid w:val="00B41328"/>
    <w:rsid w:val="00B415A6"/>
    <w:rsid w:val="00B41A8D"/>
    <w:rsid w:val="00B41B6B"/>
    <w:rsid w:val="00B4221F"/>
    <w:rsid w:val="00B42541"/>
    <w:rsid w:val="00B42A68"/>
    <w:rsid w:val="00B43E60"/>
    <w:rsid w:val="00B44B31"/>
    <w:rsid w:val="00B4505C"/>
    <w:rsid w:val="00B4572F"/>
    <w:rsid w:val="00B46011"/>
    <w:rsid w:val="00B4720B"/>
    <w:rsid w:val="00B473A9"/>
    <w:rsid w:val="00B47CCB"/>
    <w:rsid w:val="00B50770"/>
    <w:rsid w:val="00B51996"/>
    <w:rsid w:val="00B51AAC"/>
    <w:rsid w:val="00B51AB7"/>
    <w:rsid w:val="00B51E11"/>
    <w:rsid w:val="00B52A93"/>
    <w:rsid w:val="00B533F6"/>
    <w:rsid w:val="00B5480F"/>
    <w:rsid w:val="00B54DBF"/>
    <w:rsid w:val="00B54E02"/>
    <w:rsid w:val="00B5540C"/>
    <w:rsid w:val="00B5591C"/>
    <w:rsid w:val="00B57776"/>
    <w:rsid w:val="00B57C8F"/>
    <w:rsid w:val="00B60075"/>
    <w:rsid w:val="00B6092C"/>
    <w:rsid w:val="00B60D22"/>
    <w:rsid w:val="00B61128"/>
    <w:rsid w:val="00B6201A"/>
    <w:rsid w:val="00B62023"/>
    <w:rsid w:val="00B62231"/>
    <w:rsid w:val="00B639D3"/>
    <w:rsid w:val="00B6407A"/>
    <w:rsid w:val="00B6426D"/>
    <w:rsid w:val="00B6496C"/>
    <w:rsid w:val="00B651C7"/>
    <w:rsid w:val="00B65B52"/>
    <w:rsid w:val="00B66623"/>
    <w:rsid w:val="00B66D2E"/>
    <w:rsid w:val="00B66D47"/>
    <w:rsid w:val="00B66F86"/>
    <w:rsid w:val="00B670B6"/>
    <w:rsid w:val="00B67F2A"/>
    <w:rsid w:val="00B70A38"/>
    <w:rsid w:val="00B70B0F"/>
    <w:rsid w:val="00B70B92"/>
    <w:rsid w:val="00B70EA2"/>
    <w:rsid w:val="00B7107B"/>
    <w:rsid w:val="00B710F6"/>
    <w:rsid w:val="00B7149D"/>
    <w:rsid w:val="00B715A8"/>
    <w:rsid w:val="00B71A06"/>
    <w:rsid w:val="00B71C6D"/>
    <w:rsid w:val="00B71D42"/>
    <w:rsid w:val="00B71FCF"/>
    <w:rsid w:val="00B72408"/>
    <w:rsid w:val="00B726C9"/>
    <w:rsid w:val="00B72911"/>
    <w:rsid w:val="00B72C37"/>
    <w:rsid w:val="00B73187"/>
    <w:rsid w:val="00B734D7"/>
    <w:rsid w:val="00B73748"/>
    <w:rsid w:val="00B73D4C"/>
    <w:rsid w:val="00B7558D"/>
    <w:rsid w:val="00B758A8"/>
    <w:rsid w:val="00B75975"/>
    <w:rsid w:val="00B75CAC"/>
    <w:rsid w:val="00B75EF3"/>
    <w:rsid w:val="00B75F91"/>
    <w:rsid w:val="00B769B7"/>
    <w:rsid w:val="00B76A2A"/>
    <w:rsid w:val="00B770A8"/>
    <w:rsid w:val="00B770B7"/>
    <w:rsid w:val="00B80BE3"/>
    <w:rsid w:val="00B81069"/>
    <w:rsid w:val="00B81084"/>
    <w:rsid w:val="00B81230"/>
    <w:rsid w:val="00B815D2"/>
    <w:rsid w:val="00B81A8F"/>
    <w:rsid w:val="00B821DB"/>
    <w:rsid w:val="00B824EE"/>
    <w:rsid w:val="00B8306A"/>
    <w:rsid w:val="00B839B4"/>
    <w:rsid w:val="00B8410D"/>
    <w:rsid w:val="00B846C1"/>
    <w:rsid w:val="00B84704"/>
    <w:rsid w:val="00B8484E"/>
    <w:rsid w:val="00B848C1"/>
    <w:rsid w:val="00B8522F"/>
    <w:rsid w:val="00B8556F"/>
    <w:rsid w:val="00B855C3"/>
    <w:rsid w:val="00B85A68"/>
    <w:rsid w:val="00B8612F"/>
    <w:rsid w:val="00B8620C"/>
    <w:rsid w:val="00B867EE"/>
    <w:rsid w:val="00B9008F"/>
    <w:rsid w:val="00B90167"/>
    <w:rsid w:val="00B9048C"/>
    <w:rsid w:val="00B911F9"/>
    <w:rsid w:val="00B9126A"/>
    <w:rsid w:val="00B914E5"/>
    <w:rsid w:val="00B92680"/>
    <w:rsid w:val="00B92DCA"/>
    <w:rsid w:val="00B9301E"/>
    <w:rsid w:val="00B9360A"/>
    <w:rsid w:val="00B939C1"/>
    <w:rsid w:val="00B93AEB"/>
    <w:rsid w:val="00B94201"/>
    <w:rsid w:val="00B942FD"/>
    <w:rsid w:val="00B94686"/>
    <w:rsid w:val="00B9518D"/>
    <w:rsid w:val="00B956B9"/>
    <w:rsid w:val="00B96626"/>
    <w:rsid w:val="00B96709"/>
    <w:rsid w:val="00B96957"/>
    <w:rsid w:val="00B96AA5"/>
    <w:rsid w:val="00B96C9A"/>
    <w:rsid w:val="00B96ED1"/>
    <w:rsid w:val="00B97425"/>
    <w:rsid w:val="00B97914"/>
    <w:rsid w:val="00B97F41"/>
    <w:rsid w:val="00BA0A68"/>
    <w:rsid w:val="00BA1006"/>
    <w:rsid w:val="00BA1344"/>
    <w:rsid w:val="00BA179F"/>
    <w:rsid w:val="00BA226A"/>
    <w:rsid w:val="00BA2EC5"/>
    <w:rsid w:val="00BA2FDA"/>
    <w:rsid w:val="00BA338F"/>
    <w:rsid w:val="00BA3847"/>
    <w:rsid w:val="00BA3ACC"/>
    <w:rsid w:val="00BA3F4D"/>
    <w:rsid w:val="00BA4384"/>
    <w:rsid w:val="00BA482C"/>
    <w:rsid w:val="00BA4B29"/>
    <w:rsid w:val="00BA501E"/>
    <w:rsid w:val="00BA59CA"/>
    <w:rsid w:val="00BA6A2C"/>
    <w:rsid w:val="00BA72D8"/>
    <w:rsid w:val="00BA7479"/>
    <w:rsid w:val="00BA752F"/>
    <w:rsid w:val="00BA79B7"/>
    <w:rsid w:val="00BA7DDB"/>
    <w:rsid w:val="00BB028C"/>
    <w:rsid w:val="00BB03E8"/>
    <w:rsid w:val="00BB086C"/>
    <w:rsid w:val="00BB0C61"/>
    <w:rsid w:val="00BB18D2"/>
    <w:rsid w:val="00BB26D3"/>
    <w:rsid w:val="00BB3806"/>
    <w:rsid w:val="00BB4713"/>
    <w:rsid w:val="00BB4B31"/>
    <w:rsid w:val="00BB53F0"/>
    <w:rsid w:val="00BB5407"/>
    <w:rsid w:val="00BB5962"/>
    <w:rsid w:val="00BB5B80"/>
    <w:rsid w:val="00BB6D5D"/>
    <w:rsid w:val="00BB6E44"/>
    <w:rsid w:val="00BB78D2"/>
    <w:rsid w:val="00BB7B18"/>
    <w:rsid w:val="00BC01C7"/>
    <w:rsid w:val="00BC0EA8"/>
    <w:rsid w:val="00BC185F"/>
    <w:rsid w:val="00BC2AC0"/>
    <w:rsid w:val="00BC40C6"/>
    <w:rsid w:val="00BC430D"/>
    <w:rsid w:val="00BC4765"/>
    <w:rsid w:val="00BC522F"/>
    <w:rsid w:val="00BC5442"/>
    <w:rsid w:val="00BC552D"/>
    <w:rsid w:val="00BC57E3"/>
    <w:rsid w:val="00BC58F1"/>
    <w:rsid w:val="00BC5AE9"/>
    <w:rsid w:val="00BC7268"/>
    <w:rsid w:val="00BC75F6"/>
    <w:rsid w:val="00BC77A1"/>
    <w:rsid w:val="00BC7CDD"/>
    <w:rsid w:val="00BC7F48"/>
    <w:rsid w:val="00BD1587"/>
    <w:rsid w:val="00BD1779"/>
    <w:rsid w:val="00BD17BD"/>
    <w:rsid w:val="00BD1E8F"/>
    <w:rsid w:val="00BD2CDB"/>
    <w:rsid w:val="00BD2F65"/>
    <w:rsid w:val="00BD2F88"/>
    <w:rsid w:val="00BD3505"/>
    <w:rsid w:val="00BD3659"/>
    <w:rsid w:val="00BD3A38"/>
    <w:rsid w:val="00BD3EE6"/>
    <w:rsid w:val="00BD42D4"/>
    <w:rsid w:val="00BD4F87"/>
    <w:rsid w:val="00BD5745"/>
    <w:rsid w:val="00BD61F5"/>
    <w:rsid w:val="00BD7639"/>
    <w:rsid w:val="00BD7765"/>
    <w:rsid w:val="00BE0564"/>
    <w:rsid w:val="00BE0A1B"/>
    <w:rsid w:val="00BE0A86"/>
    <w:rsid w:val="00BE0BAB"/>
    <w:rsid w:val="00BE0E29"/>
    <w:rsid w:val="00BE10EE"/>
    <w:rsid w:val="00BE166F"/>
    <w:rsid w:val="00BE211F"/>
    <w:rsid w:val="00BE249B"/>
    <w:rsid w:val="00BE2BA7"/>
    <w:rsid w:val="00BE2E9A"/>
    <w:rsid w:val="00BE2EA8"/>
    <w:rsid w:val="00BE2FFD"/>
    <w:rsid w:val="00BE3AA2"/>
    <w:rsid w:val="00BE3BFC"/>
    <w:rsid w:val="00BE3CEF"/>
    <w:rsid w:val="00BE400F"/>
    <w:rsid w:val="00BE42B5"/>
    <w:rsid w:val="00BE43C8"/>
    <w:rsid w:val="00BE44C7"/>
    <w:rsid w:val="00BE4F7F"/>
    <w:rsid w:val="00BE505D"/>
    <w:rsid w:val="00BE554C"/>
    <w:rsid w:val="00BE6182"/>
    <w:rsid w:val="00BE6573"/>
    <w:rsid w:val="00BE6A74"/>
    <w:rsid w:val="00BE786E"/>
    <w:rsid w:val="00BE78EE"/>
    <w:rsid w:val="00BF0432"/>
    <w:rsid w:val="00BF05AA"/>
    <w:rsid w:val="00BF14B4"/>
    <w:rsid w:val="00BF14C6"/>
    <w:rsid w:val="00BF17CC"/>
    <w:rsid w:val="00BF220A"/>
    <w:rsid w:val="00BF30F3"/>
    <w:rsid w:val="00BF4225"/>
    <w:rsid w:val="00BF4C4D"/>
    <w:rsid w:val="00BF5228"/>
    <w:rsid w:val="00BF534A"/>
    <w:rsid w:val="00BF5E59"/>
    <w:rsid w:val="00BF6190"/>
    <w:rsid w:val="00BF6C2E"/>
    <w:rsid w:val="00BF7563"/>
    <w:rsid w:val="00BF7DC5"/>
    <w:rsid w:val="00C006AD"/>
    <w:rsid w:val="00C00741"/>
    <w:rsid w:val="00C00D0C"/>
    <w:rsid w:val="00C027A8"/>
    <w:rsid w:val="00C0376F"/>
    <w:rsid w:val="00C03D4D"/>
    <w:rsid w:val="00C03E35"/>
    <w:rsid w:val="00C04016"/>
    <w:rsid w:val="00C047FA"/>
    <w:rsid w:val="00C048F7"/>
    <w:rsid w:val="00C05295"/>
    <w:rsid w:val="00C05BFF"/>
    <w:rsid w:val="00C063D5"/>
    <w:rsid w:val="00C06792"/>
    <w:rsid w:val="00C06F90"/>
    <w:rsid w:val="00C0717F"/>
    <w:rsid w:val="00C071D6"/>
    <w:rsid w:val="00C1010A"/>
    <w:rsid w:val="00C102A7"/>
    <w:rsid w:val="00C10755"/>
    <w:rsid w:val="00C11175"/>
    <w:rsid w:val="00C11DCD"/>
    <w:rsid w:val="00C12138"/>
    <w:rsid w:val="00C124F5"/>
    <w:rsid w:val="00C12974"/>
    <w:rsid w:val="00C12F57"/>
    <w:rsid w:val="00C13BDF"/>
    <w:rsid w:val="00C13EA3"/>
    <w:rsid w:val="00C1415B"/>
    <w:rsid w:val="00C141BD"/>
    <w:rsid w:val="00C14BCA"/>
    <w:rsid w:val="00C16145"/>
    <w:rsid w:val="00C162CE"/>
    <w:rsid w:val="00C16459"/>
    <w:rsid w:val="00C167AC"/>
    <w:rsid w:val="00C16AA9"/>
    <w:rsid w:val="00C16C6E"/>
    <w:rsid w:val="00C16F60"/>
    <w:rsid w:val="00C170E3"/>
    <w:rsid w:val="00C17340"/>
    <w:rsid w:val="00C201BC"/>
    <w:rsid w:val="00C203E8"/>
    <w:rsid w:val="00C20414"/>
    <w:rsid w:val="00C21130"/>
    <w:rsid w:val="00C214DE"/>
    <w:rsid w:val="00C216D0"/>
    <w:rsid w:val="00C218C0"/>
    <w:rsid w:val="00C219AC"/>
    <w:rsid w:val="00C2213C"/>
    <w:rsid w:val="00C2273C"/>
    <w:rsid w:val="00C22FAE"/>
    <w:rsid w:val="00C243A4"/>
    <w:rsid w:val="00C243B2"/>
    <w:rsid w:val="00C247C5"/>
    <w:rsid w:val="00C24A44"/>
    <w:rsid w:val="00C2527D"/>
    <w:rsid w:val="00C2549D"/>
    <w:rsid w:val="00C25FC7"/>
    <w:rsid w:val="00C26722"/>
    <w:rsid w:val="00C26D8A"/>
    <w:rsid w:val="00C27178"/>
    <w:rsid w:val="00C2766C"/>
    <w:rsid w:val="00C27E99"/>
    <w:rsid w:val="00C27EC4"/>
    <w:rsid w:val="00C27F97"/>
    <w:rsid w:val="00C30400"/>
    <w:rsid w:val="00C309DA"/>
    <w:rsid w:val="00C319B8"/>
    <w:rsid w:val="00C31CE9"/>
    <w:rsid w:val="00C32473"/>
    <w:rsid w:val="00C324D2"/>
    <w:rsid w:val="00C32C06"/>
    <w:rsid w:val="00C32EDD"/>
    <w:rsid w:val="00C33710"/>
    <w:rsid w:val="00C351CA"/>
    <w:rsid w:val="00C354E1"/>
    <w:rsid w:val="00C3617F"/>
    <w:rsid w:val="00C37D78"/>
    <w:rsid w:val="00C409F7"/>
    <w:rsid w:val="00C40A64"/>
    <w:rsid w:val="00C40AF9"/>
    <w:rsid w:val="00C40D74"/>
    <w:rsid w:val="00C40D79"/>
    <w:rsid w:val="00C40DCB"/>
    <w:rsid w:val="00C41432"/>
    <w:rsid w:val="00C41BCC"/>
    <w:rsid w:val="00C4230C"/>
    <w:rsid w:val="00C427A8"/>
    <w:rsid w:val="00C43330"/>
    <w:rsid w:val="00C437CA"/>
    <w:rsid w:val="00C44296"/>
    <w:rsid w:val="00C443C7"/>
    <w:rsid w:val="00C4505E"/>
    <w:rsid w:val="00C455B1"/>
    <w:rsid w:val="00C4570B"/>
    <w:rsid w:val="00C45A86"/>
    <w:rsid w:val="00C47BB2"/>
    <w:rsid w:val="00C47D5E"/>
    <w:rsid w:val="00C50203"/>
    <w:rsid w:val="00C5064B"/>
    <w:rsid w:val="00C50894"/>
    <w:rsid w:val="00C50A34"/>
    <w:rsid w:val="00C50A64"/>
    <w:rsid w:val="00C51822"/>
    <w:rsid w:val="00C51F2D"/>
    <w:rsid w:val="00C524A2"/>
    <w:rsid w:val="00C52590"/>
    <w:rsid w:val="00C527D9"/>
    <w:rsid w:val="00C531BB"/>
    <w:rsid w:val="00C5330B"/>
    <w:rsid w:val="00C533E6"/>
    <w:rsid w:val="00C53C64"/>
    <w:rsid w:val="00C53EB6"/>
    <w:rsid w:val="00C54387"/>
    <w:rsid w:val="00C54CEE"/>
    <w:rsid w:val="00C54E4E"/>
    <w:rsid w:val="00C54F37"/>
    <w:rsid w:val="00C55A2B"/>
    <w:rsid w:val="00C55BA9"/>
    <w:rsid w:val="00C56B61"/>
    <w:rsid w:val="00C56D0D"/>
    <w:rsid w:val="00C56DBA"/>
    <w:rsid w:val="00C57336"/>
    <w:rsid w:val="00C600F7"/>
    <w:rsid w:val="00C607DD"/>
    <w:rsid w:val="00C60A15"/>
    <w:rsid w:val="00C60C2C"/>
    <w:rsid w:val="00C6148C"/>
    <w:rsid w:val="00C6169A"/>
    <w:rsid w:val="00C617A2"/>
    <w:rsid w:val="00C619AC"/>
    <w:rsid w:val="00C61C40"/>
    <w:rsid w:val="00C62155"/>
    <w:rsid w:val="00C6260A"/>
    <w:rsid w:val="00C6299D"/>
    <w:rsid w:val="00C63345"/>
    <w:rsid w:val="00C6427F"/>
    <w:rsid w:val="00C64ADB"/>
    <w:rsid w:val="00C64FEA"/>
    <w:rsid w:val="00C6549E"/>
    <w:rsid w:val="00C65AFB"/>
    <w:rsid w:val="00C66884"/>
    <w:rsid w:val="00C669A8"/>
    <w:rsid w:val="00C66C39"/>
    <w:rsid w:val="00C67E5C"/>
    <w:rsid w:val="00C7169A"/>
    <w:rsid w:val="00C71F57"/>
    <w:rsid w:val="00C72B55"/>
    <w:rsid w:val="00C7308B"/>
    <w:rsid w:val="00C7320F"/>
    <w:rsid w:val="00C7329C"/>
    <w:rsid w:val="00C735F5"/>
    <w:rsid w:val="00C73C39"/>
    <w:rsid w:val="00C73F4F"/>
    <w:rsid w:val="00C746B0"/>
    <w:rsid w:val="00C759F5"/>
    <w:rsid w:val="00C764D1"/>
    <w:rsid w:val="00C76FE1"/>
    <w:rsid w:val="00C80095"/>
    <w:rsid w:val="00C80EED"/>
    <w:rsid w:val="00C81154"/>
    <w:rsid w:val="00C81BCC"/>
    <w:rsid w:val="00C8256B"/>
    <w:rsid w:val="00C82E4E"/>
    <w:rsid w:val="00C839F3"/>
    <w:rsid w:val="00C8434E"/>
    <w:rsid w:val="00C8542A"/>
    <w:rsid w:val="00C8553D"/>
    <w:rsid w:val="00C85825"/>
    <w:rsid w:val="00C85B33"/>
    <w:rsid w:val="00C85BAF"/>
    <w:rsid w:val="00C8608A"/>
    <w:rsid w:val="00C8706B"/>
    <w:rsid w:val="00C871A3"/>
    <w:rsid w:val="00C876F1"/>
    <w:rsid w:val="00C87A1F"/>
    <w:rsid w:val="00C87EE9"/>
    <w:rsid w:val="00C908FD"/>
    <w:rsid w:val="00C90CE4"/>
    <w:rsid w:val="00C91461"/>
    <w:rsid w:val="00C91568"/>
    <w:rsid w:val="00C91B9A"/>
    <w:rsid w:val="00C91C76"/>
    <w:rsid w:val="00C923DF"/>
    <w:rsid w:val="00C92D1F"/>
    <w:rsid w:val="00C92ED8"/>
    <w:rsid w:val="00C93173"/>
    <w:rsid w:val="00C93193"/>
    <w:rsid w:val="00C933CA"/>
    <w:rsid w:val="00C935AC"/>
    <w:rsid w:val="00C93ACB"/>
    <w:rsid w:val="00C93AE0"/>
    <w:rsid w:val="00C93BBC"/>
    <w:rsid w:val="00C93DA6"/>
    <w:rsid w:val="00C94055"/>
    <w:rsid w:val="00C94272"/>
    <w:rsid w:val="00C9464D"/>
    <w:rsid w:val="00C94BFC"/>
    <w:rsid w:val="00C9544B"/>
    <w:rsid w:val="00C963F5"/>
    <w:rsid w:val="00C9640B"/>
    <w:rsid w:val="00C97389"/>
    <w:rsid w:val="00C97AD8"/>
    <w:rsid w:val="00C97B8E"/>
    <w:rsid w:val="00C97D59"/>
    <w:rsid w:val="00C97E8A"/>
    <w:rsid w:val="00C97FC6"/>
    <w:rsid w:val="00CA06B2"/>
    <w:rsid w:val="00CA0D17"/>
    <w:rsid w:val="00CA0D44"/>
    <w:rsid w:val="00CA23D4"/>
    <w:rsid w:val="00CA26A9"/>
    <w:rsid w:val="00CA282C"/>
    <w:rsid w:val="00CA379B"/>
    <w:rsid w:val="00CA39FD"/>
    <w:rsid w:val="00CA5A5E"/>
    <w:rsid w:val="00CA5B30"/>
    <w:rsid w:val="00CA5BE1"/>
    <w:rsid w:val="00CA5CE5"/>
    <w:rsid w:val="00CA6512"/>
    <w:rsid w:val="00CA66D1"/>
    <w:rsid w:val="00CA6AFF"/>
    <w:rsid w:val="00CA6CA1"/>
    <w:rsid w:val="00CA76DC"/>
    <w:rsid w:val="00CB09E1"/>
    <w:rsid w:val="00CB0A24"/>
    <w:rsid w:val="00CB0AD8"/>
    <w:rsid w:val="00CB0D18"/>
    <w:rsid w:val="00CB175E"/>
    <w:rsid w:val="00CB25B3"/>
    <w:rsid w:val="00CB2A9E"/>
    <w:rsid w:val="00CB2FA5"/>
    <w:rsid w:val="00CB2FEB"/>
    <w:rsid w:val="00CB302B"/>
    <w:rsid w:val="00CB3163"/>
    <w:rsid w:val="00CB381C"/>
    <w:rsid w:val="00CB47B6"/>
    <w:rsid w:val="00CB5D8F"/>
    <w:rsid w:val="00CB5DF9"/>
    <w:rsid w:val="00CB5F6C"/>
    <w:rsid w:val="00CB60C0"/>
    <w:rsid w:val="00CB61DC"/>
    <w:rsid w:val="00CB6441"/>
    <w:rsid w:val="00CB7EF1"/>
    <w:rsid w:val="00CC028F"/>
    <w:rsid w:val="00CC08A1"/>
    <w:rsid w:val="00CC0FF1"/>
    <w:rsid w:val="00CC1119"/>
    <w:rsid w:val="00CC16A6"/>
    <w:rsid w:val="00CC174C"/>
    <w:rsid w:val="00CC1832"/>
    <w:rsid w:val="00CC21C5"/>
    <w:rsid w:val="00CC2B97"/>
    <w:rsid w:val="00CC2E23"/>
    <w:rsid w:val="00CC3289"/>
    <w:rsid w:val="00CC376A"/>
    <w:rsid w:val="00CC3C11"/>
    <w:rsid w:val="00CC4A1D"/>
    <w:rsid w:val="00CC4FC2"/>
    <w:rsid w:val="00CC618F"/>
    <w:rsid w:val="00CC6CDF"/>
    <w:rsid w:val="00CC6D47"/>
    <w:rsid w:val="00CC72B0"/>
    <w:rsid w:val="00CC736B"/>
    <w:rsid w:val="00CC7466"/>
    <w:rsid w:val="00CC77BF"/>
    <w:rsid w:val="00CC7AB7"/>
    <w:rsid w:val="00CC7B62"/>
    <w:rsid w:val="00CD093E"/>
    <w:rsid w:val="00CD0DD5"/>
    <w:rsid w:val="00CD1241"/>
    <w:rsid w:val="00CD1622"/>
    <w:rsid w:val="00CD1F43"/>
    <w:rsid w:val="00CD221E"/>
    <w:rsid w:val="00CD2A3D"/>
    <w:rsid w:val="00CD2A51"/>
    <w:rsid w:val="00CD3F97"/>
    <w:rsid w:val="00CD42CF"/>
    <w:rsid w:val="00CD4CD8"/>
    <w:rsid w:val="00CD4CE9"/>
    <w:rsid w:val="00CD532C"/>
    <w:rsid w:val="00CD6F89"/>
    <w:rsid w:val="00CD7136"/>
    <w:rsid w:val="00CD7165"/>
    <w:rsid w:val="00CD7168"/>
    <w:rsid w:val="00CD7940"/>
    <w:rsid w:val="00CD7A4E"/>
    <w:rsid w:val="00CD7B40"/>
    <w:rsid w:val="00CD7BFE"/>
    <w:rsid w:val="00CE00E5"/>
    <w:rsid w:val="00CE021A"/>
    <w:rsid w:val="00CE0F33"/>
    <w:rsid w:val="00CE136E"/>
    <w:rsid w:val="00CE1F19"/>
    <w:rsid w:val="00CE2FCA"/>
    <w:rsid w:val="00CE3F2B"/>
    <w:rsid w:val="00CE57CD"/>
    <w:rsid w:val="00CE58C0"/>
    <w:rsid w:val="00CE640C"/>
    <w:rsid w:val="00CE68AE"/>
    <w:rsid w:val="00CE6BF8"/>
    <w:rsid w:val="00CE7931"/>
    <w:rsid w:val="00CF0618"/>
    <w:rsid w:val="00CF0B4F"/>
    <w:rsid w:val="00CF1021"/>
    <w:rsid w:val="00CF12EB"/>
    <w:rsid w:val="00CF16F8"/>
    <w:rsid w:val="00CF186D"/>
    <w:rsid w:val="00CF1A72"/>
    <w:rsid w:val="00CF27E5"/>
    <w:rsid w:val="00CF2889"/>
    <w:rsid w:val="00CF29E8"/>
    <w:rsid w:val="00CF2AE8"/>
    <w:rsid w:val="00CF2D4B"/>
    <w:rsid w:val="00CF313E"/>
    <w:rsid w:val="00CF343B"/>
    <w:rsid w:val="00CF38AB"/>
    <w:rsid w:val="00CF44EA"/>
    <w:rsid w:val="00CF4719"/>
    <w:rsid w:val="00CF55D2"/>
    <w:rsid w:val="00CF6FBC"/>
    <w:rsid w:val="00CF7724"/>
    <w:rsid w:val="00CF794E"/>
    <w:rsid w:val="00D000D7"/>
    <w:rsid w:val="00D001E6"/>
    <w:rsid w:val="00D01469"/>
    <w:rsid w:val="00D01652"/>
    <w:rsid w:val="00D01F67"/>
    <w:rsid w:val="00D02667"/>
    <w:rsid w:val="00D030FC"/>
    <w:rsid w:val="00D03375"/>
    <w:rsid w:val="00D03705"/>
    <w:rsid w:val="00D03864"/>
    <w:rsid w:val="00D03F1E"/>
    <w:rsid w:val="00D04028"/>
    <w:rsid w:val="00D04C95"/>
    <w:rsid w:val="00D04DFB"/>
    <w:rsid w:val="00D052F1"/>
    <w:rsid w:val="00D05B69"/>
    <w:rsid w:val="00D065E6"/>
    <w:rsid w:val="00D06C9F"/>
    <w:rsid w:val="00D06F47"/>
    <w:rsid w:val="00D06F48"/>
    <w:rsid w:val="00D07E86"/>
    <w:rsid w:val="00D101F1"/>
    <w:rsid w:val="00D10700"/>
    <w:rsid w:val="00D10BE1"/>
    <w:rsid w:val="00D10F7B"/>
    <w:rsid w:val="00D110F1"/>
    <w:rsid w:val="00D112D9"/>
    <w:rsid w:val="00D1159D"/>
    <w:rsid w:val="00D12C8A"/>
    <w:rsid w:val="00D12DA6"/>
    <w:rsid w:val="00D13180"/>
    <w:rsid w:val="00D132F7"/>
    <w:rsid w:val="00D137E3"/>
    <w:rsid w:val="00D13C5E"/>
    <w:rsid w:val="00D14658"/>
    <w:rsid w:val="00D14690"/>
    <w:rsid w:val="00D15A4D"/>
    <w:rsid w:val="00D16653"/>
    <w:rsid w:val="00D17352"/>
    <w:rsid w:val="00D174B6"/>
    <w:rsid w:val="00D1762A"/>
    <w:rsid w:val="00D177D2"/>
    <w:rsid w:val="00D20B73"/>
    <w:rsid w:val="00D20C76"/>
    <w:rsid w:val="00D22AF0"/>
    <w:rsid w:val="00D22F05"/>
    <w:rsid w:val="00D23403"/>
    <w:rsid w:val="00D23526"/>
    <w:rsid w:val="00D23B3F"/>
    <w:rsid w:val="00D24019"/>
    <w:rsid w:val="00D240BC"/>
    <w:rsid w:val="00D25030"/>
    <w:rsid w:val="00D258B1"/>
    <w:rsid w:val="00D258E8"/>
    <w:rsid w:val="00D26192"/>
    <w:rsid w:val="00D26242"/>
    <w:rsid w:val="00D275C0"/>
    <w:rsid w:val="00D27A92"/>
    <w:rsid w:val="00D27C01"/>
    <w:rsid w:val="00D27C9B"/>
    <w:rsid w:val="00D30734"/>
    <w:rsid w:val="00D30807"/>
    <w:rsid w:val="00D320E4"/>
    <w:rsid w:val="00D33CF5"/>
    <w:rsid w:val="00D33D04"/>
    <w:rsid w:val="00D33E5B"/>
    <w:rsid w:val="00D3487F"/>
    <w:rsid w:val="00D34C6E"/>
    <w:rsid w:val="00D362E7"/>
    <w:rsid w:val="00D36557"/>
    <w:rsid w:val="00D36906"/>
    <w:rsid w:val="00D37190"/>
    <w:rsid w:val="00D40088"/>
    <w:rsid w:val="00D403BB"/>
    <w:rsid w:val="00D408D4"/>
    <w:rsid w:val="00D40EEC"/>
    <w:rsid w:val="00D411E3"/>
    <w:rsid w:val="00D41374"/>
    <w:rsid w:val="00D41C5A"/>
    <w:rsid w:val="00D42319"/>
    <w:rsid w:val="00D430AF"/>
    <w:rsid w:val="00D4372D"/>
    <w:rsid w:val="00D43A24"/>
    <w:rsid w:val="00D43B10"/>
    <w:rsid w:val="00D4481E"/>
    <w:rsid w:val="00D44B4D"/>
    <w:rsid w:val="00D45780"/>
    <w:rsid w:val="00D46392"/>
    <w:rsid w:val="00D466FD"/>
    <w:rsid w:val="00D46D17"/>
    <w:rsid w:val="00D46D80"/>
    <w:rsid w:val="00D46D91"/>
    <w:rsid w:val="00D476DE"/>
    <w:rsid w:val="00D47AB6"/>
    <w:rsid w:val="00D500FB"/>
    <w:rsid w:val="00D503AE"/>
    <w:rsid w:val="00D50610"/>
    <w:rsid w:val="00D50661"/>
    <w:rsid w:val="00D50C88"/>
    <w:rsid w:val="00D50DC6"/>
    <w:rsid w:val="00D50FFB"/>
    <w:rsid w:val="00D515FD"/>
    <w:rsid w:val="00D52451"/>
    <w:rsid w:val="00D524C9"/>
    <w:rsid w:val="00D52CBB"/>
    <w:rsid w:val="00D52E1F"/>
    <w:rsid w:val="00D53367"/>
    <w:rsid w:val="00D533DF"/>
    <w:rsid w:val="00D535A0"/>
    <w:rsid w:val="00D5375D"/>
    <w:rsid w:val="00D537B6"/>
    <w:rsid w:val="00D5439A"/>
    <w:rsid w:val="00D5476F"/>
    <w:rsid w:val="00D54E1F"/>
    <w:rsid w:val="00D56225"/>
    <w:rsid w:val="00D564DB"/>
    <w:rsid w:val="00D56843"/>
    <w:rsid w:val="00D57658"/>
    <w:rsid w:val="00D5778E"/>
    <w:rsid w:val="00D57A23"/>
    <w:rsid w:val="00D57A5D"/>
    <w:rsid w:val="00D601F8"/>
    <w:rsid w:val="00D6033E"/>
    <w:rsid w:val="00D604B7"/>
    <w:rsid w:val="00D6096E"/>
    <w:rsid w:val="00D60992"/>
    <w:rsid w:val="00D60998"/>
    <w:rsid w:val="00D60B69"/>
    <w:rsid w:val="00D60DB3"/>
    <w:rsid w:val="00D610E9"/>
    <w:rsid w:val="00D61593"/>
    <w:rsid w:val="00D6294D"/>
    <w:rsid w:val="00D62EE5"/>
    <w:rsid w:val="00D631D7"/>
    <w:rsid w:val="00D6321A"/>
    <w:rsid w:val="00D632D0"/>
    <w:rsid w:val="00D63870"/>
    <w:rsid w:val="00D6409E"/>
    <w:rsid w:val="00D64DA0"/>
    <w:rsid w:val="00D66D3A"/>
    <w:rsid w:val="00D6706D"/>
    <w:rsid w:val="00D67AFC"/>
    <w:rsid w:val="00D70156"/>
    <w:rsid w:val="00D70813"/>
    <w:rsid w:val="00D71150"/>
    <w:rsid w:val="00D71541"/>
    <w:rsid w:val="00D71D8C"/>
    <w:rsid w:val="00D722C5"/>
    <w:rsid w:val="00D724C7"/>
    <w:rsid w:val="00D726FF"/>
    <w:rsid w:val="00D72FF7"/>
    <w:rsid w:val="00D73BB8"/>
    <w:rsid w:val="00D7483C"/>
    <w:rsid w:val="00D750A6"/>
    <w:rsid w:val="00D76064"/>
    <w:rsid w:val="00D7637D"/>
    <w:rsid w:val="00D7675A"/>
    <w:rsid w:val="00D76D49"/>
    <w:rsid w:val="00D76F9E"/>
    <w:rsid w:val="00D777AA"/>
    <w:rsid w:val="00D779D3"/>
    <w:rsid w:val="00D77A94"/>
    <w:rsid w:val="00D80EF8"/>
    <w:rsid w:val="00D817BD"/>
    <w:rsid w:val="00D81A01"/>
    <w:rsid w:val="00D82127"/>
    <w:rsid w:val="00D824B8"/>
    <w:rsid w:val="00D82C33"/>
    <w:rsid w:val="00D82E9B"/>
    <w:rsid w:val="00D838CE"/>
    <w:rsid w:val="00D839A8"/>
    <w:rsid w:val="00D83C26"/>
    <w:rsid w:val="00D83CD8"/>
    <w:rsid w:val="00D8479E"/>
    <w:rsid w:val="00D84A19"/>
    <w:rsid w:val="00D84BEA"/>
    <w:rsid w:val="00D84DEA"/>
    <w:rsid w:val="00D84F76"/>
    <w:rsid w:val="00D85D71"/>
    <w:rsid w:val="00D85EF7"/>
    <w:rsid w:val="00D86193"/>
    <w:rsid w:val="00D87315"/>
    <w:rsid w:val="00D87F5E"/>
    <w:rsid w:val="00D90421"/>
    <w:rsid w:val="00D9069A"/>
    <w:rsid w:val="00D9106A"/>
    <w:rsid w:val="00D9124A"/>
    <w:rsid w:val="00D9129E"/>
    <w:rsid w:val="00D91F37"/>
    <w:rsid w:val="00D91FC9"/>
    <w:rsid w:val="00D925E1"/>
    <w:rsid w:val="00D926ED"/>
    <w:rsid w:val="00D936A4"/>
    <w:rsid w:val="00D93972"/>
    <w:rsid w:val="00D93A53"/>
    <w:rsid w:val="00D94124"/>
    <w:rsid w:val="00D9436C"/>
    <w:rsid w:val="00D9459A"/>
    <w:rsid w:val="00D9551B"/>
    <w:rsid w:val="00D957F6"/>
    <w:rsid w:val="00D959FE"/>
    <w:rsid w:val="00D95D6C"/>
    <w:rsid w:val="00D963C0"/>
    <w:rsid w:val="00D96D06"/>
    <w:rsid w:val="00D97397"/>
    <w:rsid w:val="00D97D3B"/>
    <w:rsid w:val="00DA0F2E"/>
    <w:rsid w:val="00DA0F36"/>
    <w:rsid w:val="00DA10EA"/>
    <w:rsid w:val="00DA13DB"/>
    <w:rsid w:val="00DA1531"/>
    <w:rsid w:val="00DA17AE"/>
    <w:rsid w:val="00DA183B"/>
    <w:rsid w:val="00DA19DE"/>
    <w:rsid w:val="00DA1C11"/>
    <w:rsid w:val="00DA271A"/>
    <w:rsid w:val="00DA284D"/>
    <w:rsid w:val="00DA371F"/>
    <w:rsid w:val="00DA38AD"/>
    <w:rsid w:val="00DA3DEF"/>
    <w:rsid w:val="00DA40D2"/>
    <w:rsid w:val="00DA52CF"/>
    <w:rsid w:val="00DA5DF1"/>
    <w:rsid w:val="00DA69F6"/>
    <w:rsid w:val="00DA6EED"/>
    <w:rsid w:val="00DA7792"/>
    <w:rsid w:val="00DA791A"/>
    <w:rsid w:val="00DB0000"/>
    <w:rsid w:val="00DB0174"/>
    <w:rsid w:val="00DB097A"/>
    <w:rsid w:val="00DB0CB0"/>
    <w:rsid w:val="00DB0CD9"/>
    <w:rsid w:val="00DB10AB"/>
    <w:rsid w:val="00DB1FBB"/>
    <w:rsid w:val="00DB23C2"/>
    <w:rsid w:val="00DB2475"/>
    <w:rsid w:val="00DB2F5C"/>
    <w:rsid w:val="00DB2FBC"/>
    <w:rsid w:val="00DB32BD"/>
    <w:rsid w:val="00DB35F9"/>
    <w:rsid w:val="00DB36BC"/>
    <w:rsid w:val="00DB3850"/>
    <w:rsid w:val="00DB3C26"/>
    <w:rsid w:val="00DB3F24"/>
    <w:rsid w:val="00DB4C83"/>
    <w:rsid w:val="00DB51F0"/>
    <w:rsid w:val="00DB54A8"/>
    <w:rsid w:val="00DB56B2"/>
    <w:rsid w:val="00DB6AAF"/>
    <w:rsid w:val="00DB7AA6"/>
    <w:rsid w:val="00DC04EC"/>
    <w:rsid w:val="00DC0BEF"/>
    <w:rsid w:val="00DC1675"/>
    <w:rsid w:val="00DC1A40"/>
    <w:rsid w:val="00DC1C88"/>
    <w:rsid w:val="00DC1E5F"/>
    <w:rsid w:val="00DC1FC6"/>
    <w:rsid w:val="00DC24D5"/>
    <w:rsid w:val="00DC49BC"/>
    <w:rsid w:val="00DC53A6"/>
    <w:rsid w:val="00DC5494"/>
    <w:rsid w:val="00DC55C1"/>
    <w:rsid w:val="00DC6342"/>
    <w:rsid w:val="00DC64EC"/>
    <w:rsid w:val="00DC683C"/>
    <w:rsid w:val="00DC6A19"/>
    <w:rsid w:val="00DC6DA4"/>
    <w:rsid w:val="00DC7940"/>
    <w:rsid w:val="00DD0BC1"/>
    <w:rsid w:val="00DD11C7"/>
    <w:rsid w:val="00DD1683"/>
    <w:rsid w:val="00DD1E72"/>
    <w:rsid w:val="00DD21DF"/>
    <w:rsid w:val="00DD3054"/>
    <w:rsid w:val="00DD337F"/>
    <w:rsid w:val="00DD418B"/>
    <w:rsid w:val="00DD49F0"/>
    <w:rsid w:val="00DD4A6D"/>
    <w:rsid w:val="00DD4E69"/>
    <w:rsid w:val="00DD601F"/>
    <w:rsid w:val="00DD6757"/>
    <w:rsid w:val="00DD70B2"/>
    <w:rsid w:val="00DD7825"/>
    <w:rsid w:val="00DE00C7"/>
    <w:rsid w:val="00DE03FC"/>
    <w:rsid w:val="00DE0721"/>
    <w:rsid w:val="00DE1025"/>
    <w:rsid w:val="00DE1637"/>
    <w:rsid w:val="00DE1CB7"/>
    <w:rsid w:val="00DE1DA8"/>
    <w:rsid w:val="00DE1F1B"/>
    <w:rsid w:val="00DE1F2D"/>
    <w:rsid w:val="00DE253E"/>
    <w:rsid w:val="00DE36F7"/>
    <w:rsid w:val="00DE39FB"/>
    <w:rsid w:val="00DE5E49"/>
    <w:rsid w:val="00DE652D"/>
    <w:rsid w:val="00DE67A3"/>
    <w:rsid w:val="00DE6803"/>
    <w:rsid w:val="00DE6C1E"/>
    <w:rsid w:val="00DE767F"/>
    <w:rsid w:val="00DF0448"/>
    <w:rsid w:val="00DF118A"/>
    <w:rsid w:val="00DF199F"/>
    <w:rsid w:val="00DF1A79"/>
    <w:rsid w:val="00DF2820"/>
    <w:rsid w:val="00DF28FA"/>
    <w:rsid w:val="00DF318A"/>
    <w:rsid w:val="00DF31C0"/>
    <w:rsid w:val="00DF32EC"/>
    <w:rsid w:val="00DF37D8"/>
    <w:rsid w:val="00DF3B8C"/>
    <w:rsid w:val="00DF40EA"/>
    <w:rsid w:val="00DF491D"/>
    <w:rsid w:val="00DF4BA1"/>
    <w:rsid w:val="00DF60E0"/>
    <w:rsid w:val="00DF6E2F"/>
    <w:rsid w:val="00DF6ED1"/>
    <w:rsid w:val="00DF70D5"/>
    <w:rsid w:val="00DF794D"/>
    <w:rsid w:val="00DF7A88"/>
    <w:rsid w:val="00DF7D8B"/>
    <w:rsid w:val="00DF7E5F"/>
    <w:rsid w:val="00E0194D"/>
    <w:rsid w:val="00E01ECF"/>
    <w:rsid w:val="00E02F73"/>
    <w:rsid w:val="00E03089"/>
    <w:rsid w:val="00E03210"/>
    <w:rsid w:val="00E033A2"/>
    <w:rsid w:val="00E034EA"/>
    <w:rsid w:val="00E0357F"/>
    <w:rsid w:val="00E036AD"/>
    <w:rsid w:val="00E04058"/>
    <w:rsid w:val="00E0493A"/>
    <w:rsid w:val="00E064DD"/>
    <w:rsid w:val="00E06A0A"/>
    <w:rsid w:val="00E06EAC"/>
    <w:rsid w:val="00E074D1"/>
    <w:rsid w:val="00E07533"/>
    <w:rsid w:val="00E07958"/>
    <w:rsid w:val="00E07A1E"/>
    <w:rsid w:val="00E07D9E"/>
    <w:rsid w:val="00E101B2"/>
    <w:rsid w:val="00E10F51"/>
    <w:rsid w:val="00E115B5"/>
    <w:rsid w:val="00E11A8E"/>
    <w:rsid w:val="00E11AB8"/>
    <w:rsid w:val="00E11C42"/>
    <w:rsid w:val="00E11EA0"/>
    <w:rsid w:val="00E12BCE"/>
    <w:rsid w:val="00E12D18"/>
    <w:rsid w:val="00E12D1A"/>
    <w:rsid w:val="00E12E4C"/>
    <w:rsid w:val="00E1358B"/>
    <w:rsid w:val="00E13BEE"/>
    <w:rsid w:val="00E13F9C"/>
    <w:rsid w:val="00E148E4"/>
    <w:rsid w:val="00E151B2"/>
    <w:rsid w:val="00E165E7"/>
    <w:rsid w:val="00E16B22"/>
    <w:rsid w:val="00E175E2"/>
    <w:rsid w:val="00E208E4"/>
    <w:rsid w:val="00E20AD7"/>
    <w:rsid w:val="00E20BEC"/>
    <w:rsid w:val="00E2113A"/>
    <w:rsid w:val="00E2133C"/>
    <w:rsid w:val="00E2180D"/>
    <w:rsid w:val="00E219ED"/>
    <w:rsid w:val="00E21FD4"/>
    <w:rsid w:val="00E220F1"/>
    <w:rsid w:val="00E22AE9"/>
    <w:rsid w:val="00E23411"/>
    <w:rsid w:val="00E235E3"/>
    <w:rsid w:val="00E23631"/>
    <w:rsid w:val="00E24525"/>
    <w:rsid w:val="00E24681"/>
    <w:rsid w:val="00E2484F"/>
    <w:rsid w:val="00E25138"/>
    <w:rsid w:val="00E25A01"/>
    <w:rsid w:val="00E25FC3"/>
    <w:rsid w:val="00E2669C"/>
    <w:rsid w:val="00E275EB"/>
    <w:rsid w:val="00E2769F"/>
    <w:rsid w:val="00E27D7E"/>
    <w:rsid w:val="00E3018B"/>
    <w:rsid w:val="00E302D6"/>
    <w:rsid w:val="00E305F0"/>
    <w:rsid w:val="00E307E3"/>
    <w:rsid w:val="00E31139"/>
    <w:rsid w:val="00E31231"/>
    <w:rsid w:val="00E31B42"/>
    <w:rsid w:val="00E320F0"/>
    <w:rsid w:val="00E328D1"/>
    <w:rsid w:val="00E33F3B"/>
    <w:rsid w:val="00E34F23"/>
    <w:rsid w:val="00E350E1"/>
    <w:rsid w:val="00E357A3"/>
    <w:rsid w:val="00E35B25"/>
    <w:rsid w:val="00E35CE8"/>
    <w:rsid w:val="00E36620"/>
    <w:rsid w:val="00E370BC"/>
    <w:rsid w:val="00E41E75"/>
    <w:rsid w:val="00E420C6"/>
    <w:rsid w:val="00E426F6"/>
    <w:rsid w:val="00E42FD8"/>
    <w:rsid w:val="00E436CB"/>
    <w:rsid w:val="00E43D36"/>
    <w:rsid w:val="00E446FD"/>
    <w:rsid w:val="00E45630"/>
    <w:rsid w:val="00E4582B"/>
    <w:rsid w:val="00E46119"/>
    <w:rsid w:val="00E46724"/>
    <w:rsid w:val="00E46760"/>
    <w:rsid w:val="00E46942"/>
    <w:rsid w:val="00E473B2"/>
    <w:rsid w:val="00E4742E"/>
    <w:rsid w:val="00E4746B"/>
    <w:rsid w:val="00E504EB"/>
    <w:rsid w:val="00E50A3B"/>
    <w:rsid w:val="00E50CD1"/>
    <w:rsid w:val="00E513DC"/>
    <w:rsid w:val="00E5196E"/>
    <w:rsid w:val="00E51F4A"/>
    <w:rsid w:val="00E53E6E"/>
    <w:rsid w:val="00E54C04"/>
    <w:rsid w:val="00E54DBF"/>
    <w:rsid w:val="00E550AD"/>
    <w:rsid w:val="00E5580E"/>
    <w:rsid w:val="00E55A1B"/>
    <w:rsid w:val="00E56574"/>
    <w:rsid w:val="00E56831"/>
    <w:rsid w:val="00E56E6C"/>
    <w:rsid w:val="00E60673"/>
    <w:rsid w:val="00E612B5"/>
    <w:rsid w:val="00E61945"/>
    <w:rsid w:val="00E620C9"/>
    <w:rsid w:val="00E62768"/>
    <w:rsid w:val="00E628F2"/>
    <w:rsid w:val="00E62BB3"/>
    <w:rsid w:val="00E631AE"/>
    <w:rsid w:val="00E63524"/>
    <w:rsid w:val="00E63649"/>
    <w:rsid w:val="00E64B17"/>
    <w:rsid w:val="00E64EF4"/>
    <w:rsid w:val="00E64F64"/>
    <w:rsid w:val="00E66EE6"/>
    <w:rsid w:val="00E670EB"/>
    <w:rsid w:val="00E678E8"/>
    <w:rsid w:val="00E6793F"/>
    <w:rsid w:val="00E67CAC"/>
    <w:rsid w:val="00E7020B"/>
    <w:rsid w:val="00E7042F"/>
    <w:rsid w:val="00E70B03"/>
    <w:rsid w:val="00E70C20"/>
    <w:rsid w:val="00E70D07"/>
    <w:rsid w:val="00E70EF4"/>
    <w:rsid w:val="00E7124F"/>
    <w:rsid w:val="00E7151A"/>
    <w:rsid w:val="00E71811"/>
    <w:rsid w:val="00E721F9"/>
    <w:rsid w:val="00E7238E"/>
    <w:rsid w:val="00E72548"/>
    <w:rsid w:val="00E72E33"/>
    <w:rsid w:val="00E7308A"/>
    <w:rsid w:val="00E73402"/>
    <w:rsid w:val="00E73DEA"/>
    <w:rsid w:val="00E74334"/>
    <w:rsid w:val="00E7446F"/>
    <w:rsid w:val="00E7463A"/>
    <w:rsid w:val="00E748FC"/>
    <w:rsid w:val="00E74ACA"/>
    <w:rsid w:val="00E74D88"/>
    <w:rsid w:val="00E75058"/>
    <w:rsid w:val="00E75304"/>
    <w:rsid w:val="00E7551D"/>
    <w:rsid w:val="00E755EB"/>
    <w:rsid w:val="00E758B8"/>
    <w:rsid w:val="00E75C5C"/>
    <w:rsid w:val="00E75EA4"/>
    <w:rsid w:val="00E75FB3"/>
    <w:rsid w:val="00E77C77"/>
    <w:rsid w:val="00E77D7E"/>
    <w:rsid w:val="00E77E01"/>
    <w:rsid w:val="00E77F85"/>
    <w:rsid w:val="00E80656"/>
    <w:rsid w:val="00E8166E"/>
    <w:rsid w:val="00E8196B"/>
    <w:rsid w:val="00E81C86"/>
    <w:rsid w:val="00E831C9"/>
    <w:rsid w:val="00E83896"/>
    <w:rsid w:val="00E838C9"/>
    <w:rsid w:val="00E84956"/>
    <w:rsid w:val="00E84EA6"/>
    <w:rsid w:val="00E8558B"/>
    <w:rsid w:val="00E8627C"/>
    <w:rsid w:val="00E86431"/>
    <w:rsid w:val="00E8661C"/>
    <w:rsid w:val="00E86E6B"/>
    <w:rsid w:val="00E870EA"/>
    <w:rsid w:val="00E90081"/>
    <w:rsid w:val="00E901EA"/>
    <w:rsid w:val="00E906DA"/>
    <w:rsid w:val="00E91A7E"/>
    <w:rsid w:val="00E91D02"/>
    <w:rsid w:val="00E92851"/>
    <w:rsid w:val="00E92971"/>
    <w:rsid w:val="00E92E03"/>
    <w:rsid w:val="00E93162"/>
    <w:rsid w:val="00E93174"/>
    <w:rsid w:val="00E93367"/>
    <w:rsid w:val="00E9436A"/>
    <w:rsid w:val="00E94D26"/>
    <w:rsid w:val="00E95161"/>
    <w:rsid w:val="00E9596C"/>
    <w:rsid w:val="00E95D3C"/>
    <w:rsid w:val="00E95E06"/>
    <w:rsid w:val="00E9705F"/>
    <w:rsid w:val="00E970D2"/>
    <w:rsid w:val="00E97A2E"/>
    <w:rsid w:val="00EA042A"/>
    <w:rsid w:val="00EA062E"/>
    <w:rsid w:val="00EA09C6"/>
    <w:rsid w:val="00EA0EED"/>
    <w:rsid w:val="00EA128B"/>
    <w:rsid w:val="00EA1685"/>
    <w:rsid w:val="00EA1835"/>
    <w:rsid w:val="00EA2BA3"/>
    <w:rsid w:val="00EA3322"/>
    <w:rsid w:val="00EA33E0"/>
    <w:rsid w:val="00EA3A08"/>
    <w:rsid w:val="00EA3B3F"/>
    <w:rsid w:val="00EA48CD"/>
    <w:rsid w:val="00EA4957"/>
    <w:rsid w:val="00EA4B07"/>
    <w:rsid w:val="00EA4EFD"/>
    <w:rsid w:val="00EA539F"/>
    <w:rsid w:val="00EA574D"/>
    <w:rsid w:val="00EA5CD7"/>
    <w:rsid w:val="00EA6D9B"/>
    <w:rsid w:val="00EB1A39"/>
    <w:rsid w:val="00EB1C11"/>
    <w:rsid w:val="00EB2294"/>
    <w:rsid w:val="00EB2DC5"/>
    <w:rsid w:val="00EB40BB"/>
    <w:rsid w:val="00EB42D6"/>
    <w:rsid w:val="00EB48BF"/>
    <w:rsid w:val="00EB4957"/>
    <w:rsid w:val="00EB536A"/>
    <w:rsid w:val="00EB5560"/>
    <w:rsid w:val="00EB5B5C"/>
    <w:rsid w:val="00EB6065"/>
    <w:rsid w:val="00EB612F"/>
    <w:rsid w:val="00EB7B3B"/>
    <w:rsid w:val="00EC05DB"/>
    <w:rsid w:val="00EC0798"/>
    <w:rsid w:val="00EC0ECF"/>
    <w:rsid w:val="00EC141B"/>
    <w:rsid w:val="00EC1F43"/>
    <w:rsid w:val="00EC2659"/>
    <w:rsid w:val="00EC398B"/>
    <w:rsid w:val="00EC4153"/>
    <w:rsid w:val="00EC45E2"/>
    <w:rsid w:val="00EC53C5"/>
    <w:rsid w:val="00EC5517"/>
    <w:rsid w:val="00EC5D86"/>
    <w:rsid w:val="00EC726E"/>
    <w:rsid w:val="00EC7270"/>
    <w:rsid w:val="00EC738E"/>
    <w:rsid w:val="00EC7A30"/>
    <w:rsid w:val="00EC7B1F"/>
    <w:rsid w:val="00ED0B41"/>
    <w:rsid w:val="00ED1691"/>
    <w:rsid w:val="00ED18DE"/>
    <w:rsid w:val="00ED1C70"/>
    <w:rsid w:val="00ED216A"/>
    <w:rsid w:val="00ED2E02"/>
    <w:rsid w:val="00ED2EEB"/>
    <w:rsid w:val="00ED3792"/>
    <w:rsid w:val="00ED3ABB"/>
    <w:rsid w:val="00ED3E59"/>
    <w:rsid w:val="00ED4D1E"/>
    <w:rsid w:val="00ED53FC"/>
    <w:rsid w:val="00ED54AF"/>
    <w:rsid w:val="00ED717C"/>
    <w:rsid w:val="00ED7A19"/>
    <w:rsid w:val="00ED7A4C"/>
    <w:rsid w:val="00ED7B6B"/>
    <w:rsid w:val="00ED7D5D"/>
    <w:rsid w:val="00ED7E6C"/>
    <w:rsid w:val="00EE004F"/>
    <w:rsid w:val="00EE007C"/>
    <w:rsid w:val="00EE02F7"/>
    <w:rsid w:val="00EE174E"/>
    <w:rsid w:val="00EE1C88"/>
    <w:rsid w:val="00EE2429"/>
    <w:rsid w:val="00EE257C"/>
    <w:rsid w:val="00EE260E"/>
    <w:rsid w:val="00EE271F"/>
    <w:rsid w:val="00EE2FC1"/>
    <w:rsid w:val="00EE3BDE"/>
    <w:rsid w:val="00EE3F8F"/>
    <w:rsid w:val="00EE4498"/>
    <w:rsid w:val="00EE4760"/>
    <w:rsid w:val="00EE55B7"/>
    <w:rsid w:val="00EE6AA1"/>
    <w:rsid w:val="00EE6B24"/>
    <w:rsid w:val="00EE7407"/>
    <w:rsid w:val="00EE7704"/>
    <w:rsid w:val="00EF0927"/>
    <w:rsid w:val="00EF0D40"/>
    <w:rsid w:val="00EF1E04"/>
    <w:rsid w:val="00EF2EFD"/>
    <w:rsid w:val="00EF2FD2"/>
    <w:rsid w:val="00EF337A"/>
    <w:rsid w:val="00EF39CE"/>
    <w:rsid w:val="00EF4EF5"/>
    <w:rsid w:val="00EF53A0"/>
    <w:rsid w:val="00EF5A71"/>
    <w:rsid w:val="00EF5C41"/>
    <w:rsid w:val="00EF5D20"/>
    <w:rsid w:val="00EF5F65"/>
    <w:rsid w:val="00EF6069"/>
    <w:rsid w:val="00EF628E"/>
    <w:rsid w:val="00EF66A0"/>
    <w:rsid w:val="00EF6B80"/>
    <w:rsid w:val="00EF76FD"/>
    <w:rsid w:val="00F00B92"/>
    <w:rsid w:val="00F00BDC"/>
    <w:rsid w:val="00F00C6A"/>
    <w:rsid w:val="00F013EC"/>
    <w:rsid w:val="00F016A3"/>
    <w:rsid w:val="00F01B66"/>
    <w:rsid w:val="00F01D26"/>
    <w:rsid w:val="00F02322"/>
    <w:rsid w:val="00F0298E"/>
    <w:rsid w:val="00F02F9D"/>
    <w:rsid w:val="00F0313C"/>
    <w:rsid w:val="00F03B44"/>
    <w:rsid w:val="00F03C7D"/>
    <w:rsid w:val="00F0453A"/>
    <w:rsid w:val="00F045A6"/>
    <w:rsid w:val="00F053E6"/>
    <w:rsid w:val="00F05705"/>
    <w:rsid w:val="00F059A1"/>
    <w:rsid w:val="00F05E27"/>
    <w:rsid w:val="00F06000"/>
    <w:rsid w:val="00F06589"/>
    <w:rsid w:val="00F06655"/>
    <w:rsid w:val="00F0671F"/>
    <w:rsid w:val="00F07745"/>
    <w:rsid w:val="00F10094"/>
    <w:rsid w:val="00F102A2"/>
    <w:rsid w:val="00F10C63"/>
    <w:rsid w:val="00F1106D"/>
    <w:rsid w:val="00F110D9"/>
    <w:rsid w:val="00F11475"/>
    <w:rsid w:val="00F12151"/>
    <w:rsid w:val="00F12263"/>
    <w:rsid w:val="00F12486"/>
    <w:rsid w:val="00F124FF"/>
    <w:rsid w:val="00F12CD2"/>
    <w:rsid w:val="00F12D12"/>
    <w:rsid w:val="00F12E90"/>
    <w:rsid w:val="00F13444"/>
    <w:rsid w:val="00F1417E"/>
    <w:rsid w:val="00F14DCD"/>
    <w:rsid w:val="00F15024"/>
    <w:rsid w:val="00F15C8F"/>
    <w:rsid w:val="00F16421"/>
    <w:rsid w:val="00F167AA"/>
    <w:rsid w:val="00F16D30"/>
    <w:rsid w:val="00F16ECE"/>
    <w:rsid w:val="00F1788F"/>
    <w:rsid w:val="00F1792A"/>
    <w:rsid w:val="00F17EF3"/>
    <w:rsid w:val="00F20E23"/>
    <w:rsid w:val="00F21B77"/>
    <w:rsid w:val="00F22203"/>
    <w:rsid w:val="00F22C01"/>
    <w:rsid w:val="00F22FED"/>
    <w:rsid w:val="00F230BA"/>
    <w:rsid w:val="00F2327B"/>
    <w:rsid w:val="00F23598"/>
    <w:rsid w:val="00F235B6"/>
    <w:rsid w:val="00F2365E"/>
    <w:rsid w:val="00F23B99"/>
    <w:rsid w:val="00F243DC"/>
    <w:rsid w:val="00F253C7"/>
    <w:rsid w:val="00F25576"/>
    <w:rsid w:val="00F256F2"/>
    <w:rsid w:val="00F25707"/>
    <w:rsid w:val="00F25E67"/>
    <w:rsid w:val="00F25ED3"/>
    <w:rsid w:val="00F273B4"/>
    <w:rsid w:val="00F2776B"/>
    <w:rsid w:val="00F30124"/>
    <w:rsid w:val="00F30189"/>
    <w:rsid w:val="00F305A8"/>
    <w:rsid w:val="00F3078B"/>
    <w:rsid w:val="00F3160C"/>
    <w:rsid w:val="00F31B9B"/>
    <w:rsid w:val="00F31E44"/>
    <w:rsid w:val="00F32523"/>
    <w:rsid w:val="00F32F8C"/>
    <w:rsid w:val="00F34139"/>
    <w:rsid w:val="00F3430C"/>
    <w:rsid w:val="00F34451"/>
    <w:rsid w:val="00F346B7"/>
    <w:rsid w:val="00F352C4"/>
    <w:rsid w:val="00F35341"/>
    <w:rsid w:val="00F35370"/>
    <w:rsid w:val="00F355F6"/>
    <w:rsid w:val="00F35777"/>
    <w:rsid w:val="00F358A4"/>
    <w:rsid w:val="00F35D44"/>
    <w:rsid w:val="00F36023"/>
    <w:rsid w:val="00F361D6"/>
    <w:rsid w:val="00F363C3"/>
    <w:rsid w:val="00F378F3"/>
    <w:rsid w:val="00F37AC9"/>
    <w:rsid w:val="00F37C69"/>
    <w:rsid w:val="00F4033F"/>
    <w:rsid w:val="00F409F4"/>
    <w:rsid w:val="00F40CF1"/>
    <w:rsid w:val="00F418DD"/>
    <w:rsid w:val="00F41AC2"/>
    <w:rsid w:val="00F41E47"/>
    <w:rsid w:val="00F42400"/>
    <w:rsid w:val="00F42C90"/>
    <w:rsid w:val="00F431F5"/>
    <w:rsid w:val="00F43932"/>
    <w:rsid w:val="00F439AD"/>
    <w:rsid w:val="00F444DA"/>
    <w:rsid w:val="00F44601"/>
    <w:rsid w:val="00F45DC6"/>
    <w:rsid w:val="00F46131"/>
    <w:rsid w:val="00F46648"/>
    <w:rsid w:val="00F469D6"/>
    <w:rsid w:val="00F470BA"/>
    <w:rsid w:val="00F47E06"/>
    <w:rsid w:val="00F47F30"/>
    <w:rsid w:val="00F50233"/>
    <w:rsid w:val="00F506DD"/>
    <w:rsid w:val="00F511D7"/>
    <w:rsid w:val="00F518C4"/>
    <w:rsid w:val="00F51EBC"/>
    <w:rsid w:val="00F5202C"/>
    <w:rsid w:val="00F522F0"/>
    <w:rsid w:val="00F5238E"/>
    <w:rsid w:val="00F5239C"/>
    <w:rsid w:val="00F52E60"/>
    <w:rsid w:val="00F5374E"/>
    <w:rsid w:val="00F53EAA"/>
    <w:rsid w:val="00F5400E"/>
    <w:rsid w:val="00F54400"/>
    <w:rsid w:val="00F54B14"/>
    <w:rsid w:val="00F5508C"/>
    <w:rsid w:val="00F5510C"/>
    <w:rsid w:val="00F55138"/>
    <w:rsid w:val="00F5529D"/>
    <w:rsid w:val="00F5585A"/>
    <w:rsid w:val="00F55E70"/>
    <w:rsid w:val="00F567FC"/>
    <w:rsid w:val="00F5681F"/>
    <w:rsid w:val="00F568EF"/>
    <w:rsid w:val="00F56946"/>
    <w:rsid w:val="00F579B8"/>
    <w:rsid w:val="00F60221"/>
    <w:rsid w:val="00F603A9"/>
    <w:rsid w:val="00F60736"/>
    <w:rsid w:val="00F607DC"/>
    <w:rsid w:val="00F60B0E"/>
    <w:rsid w:val="00F60BCC"/>
    <w:rsid w:val="00F61EAE"/>
    <w:rsid w:val="00F61ECC"/>
    <w:rsid w:val="00F6232D"/>
    <w:rsid w:val="00F64E4A"/>
    <w:rsid w:val="00F64F59"/>
    <w:rsid w:val="00F655E3"/>
    <w:rsid w:val="00F66206"/>
    <w:rsid w:val="00F663CE"/>
    <w:rsid w:val="00F66711"/>
    <w:rsid w:val="00F668E3"/>
    <w:rsid w:val="00F66B6B"/>
    <w:rsid w:val="00F66CCF"/>
    <w:rsid w:val="00F700B7"/>
    <w:rsid w:val="00F703F3"/>
    <w:rsid w:val="00F70B40"/>
    <w:rsid w:val="00F71913"/>
    <w:rsid w:val="00F719E3"/>
    <w:rsid w:val="00F71A4A"/>
    <w:rsid w:val="00F72064"/>
    <w:rsid w:val="00F720C1"/>
    <w:rsid w:val="00F7264A"/>
    <w:rsid w:val="00F726BC"/>
    <w:rsid w:val="00F727EB"/>
    <w:rsid w:val="00F72F74"/>
    <w:rsid w:val="00F72F95"/>
    <w:rsid w:val="00F734FB"/>
    <w:rsid w:val="00F738B9"/>
    <w:rsid w:val="00F75C1D"/>
    <w:rsid w:val="00F7672A"/>
    <w:rsid w:val="00F77262"/>
    <w:rsid w:val="00F77E4A"/>
    <w:rsid w:val="00F77F00"/>
    <w:rsid w:val="00F80A3F"/>
    <w:rsid w:val="00F80BE4"/>
    <w:rsid w:val="00F810FD"/>
    <w:rsid w:val="00F814F1"/>
    <w:rsid w:val="00F81B18"/>
    <w:rsid w:val="00F82277"/>
    <w:rsid w:val="00F82683"/>
    <w:rsid w:val="00F83B0C"/>
    <w:rsid w:val="00F84E1B"/>
    <w:rsid w:val="00F85314"/>
    <w:rsid w:val="00F85E68"/>
    <w:rsid w:val="00F86A16"/>
    <w:rsid w:val="00F86AD0"/>
    <w:rsid w:val="00F86E97"/>
    <w:rsid w:val="00F8769F"/>
    <w:rsid w:val="00F87A77"/>
    <w:rsid w:val="00F90153"/>
    <w:rsid w:val="00F91395"/>
    <w:rsid w:val="00F91668"/>
    <w:rsid w:val="00F91CAF"/>
    <w:rsid w:val="00F91EEC"/>
    <w:rsid w:val="00F928DE"/>
    <w:rsid w:val="00F928F4"/>
    <w:rsid w:val="00F92EDC"/>
    <w:rsid w:val="00F94037"/>
    <w:rsid w:val="00F95039"/>
    <w:rsid w:val="00F950E6"/>
    <w:rsid w:val="00F9532C"/>
    <w:rsid w:val="00F96056"/>
    <w:rsid w:val="00F965F0"/>
    <w:rsid w:val="00F9679D"/>
    <w:rsid w:val="00F96B73"/>
    <w:rsid w:val="00F96F93"/>
    <w:rsid w:val="00F97543"/>
    <w:rsid w:val="00F97828"/>
    <w:rsid w:val="00F97E65"/>
    <w:rsid w:val="00F97FDA"/>
    <w:rsid w:val="00FA005F"/>
    <w:rsid w:val="00FA04BB"/>
    <w:rsid w:val="00FA15B4"/>
    <w:rsid w:val="00FA1DB2"/>
    <w:rsid w:val="00FA235C"/>
    <w:rsid w:val="00FA2D32"/>
    <w:rsid w:val="00FA2D42"/>
    <w:rsid w:val="00FA399F"/>
    <w:rsid w:val="00FA44F3"/>
    <w:rsid w:val="00FA4EAD"/>
    <w:rsid w:val="00FA5B53"/>
    <w:rsid w:val="00FA626C"/>
    <w:rsid w:val="00FA66AA"/>
    <w:rsid w:val="00FA7234"/>
    <w:rsid w:val="00FA75E9"/>
    <w:rsid w:val="00FA7778"/>
    <w:rsid w:val="00FB004B"/>
    <w:rsid w:val="00FB0050"/>
    <w:rsid w:val="00FB07A4"/>
    <w:rsid w:val="00FB11BE"/>
    <w:rsid w:val="00FB18DD"/>
    <w:rsid w:val="00FB1AEB"/>
    <w:rsid w:val="00FB1DD4"/>
    <w:rsid w:val="00FB2992"/>
    <w:rsid w:val="00FB2C4F"/>
    <w:rsid w:val="00FB4233"/>
    <w:rsid w:val="00FB572C"/>
    <w:rsid w:val="00FB612B"/>
    <w:rsid w:val="00FB618E"/>
    <w:rsid w:val="00FB6A9A"/>
    <w:rsid w:val="00FB7132"/>
    <w:rsid w:val="00FB741D"/>
    <w:rsid w:val="00FB7AC7"/>
    <w:rsid w:val="00FB7ACC"/>
    <w:rsid w:val="00FB7C39"/>
    <w:rsid w:val="00FB7CA2"/>
    <w:rsid w:val="00FC0354"/>
    <w:rsid w:val="00FC045D"/>
    <w:rsid w:val="00FC0C67"/>
    <w:rsid w:val="00FC0FC9"/>
    <w:rsid w:val="00FC118E"/>
    <w:rsid w:val="00FC13C5"/>
    <w:rsid w:val="00FC1637"/>
    <w:rsid w:val="00FC1D94"/>
    <w:rsid w:val="00FC1EFE"/>
    <w:rsid w:val="00FC2BEB"/>
    <w:rsid w:val="00FC39B7"/>
    <w:rsid w:val="00FC3BF1"/>
    <w:rsid w:val="00FC451C"/>
    <w:rsid w:val="00FC4596"/>
    <w:rsid w:val="00FC4772"/>
    <w:rsid w:val="00FC52C4"/>
    <w:rsid w:val="00FC53F4"/>
    <w:rsid w:val="00FC59C2"/>
    <w:rsid w:val="00FC5C6E"/>
    <w:rsid w:val="00FC7415"/>
    <w:rsid w:val="00FC780C"/>
    <w:rsid w:val="00FC7AAC"/>
    <w:rsid w:val="00FC7CC7"/>
    <w:rsid w:val="00FC7D89"/>
    <w:rsid w:val="00FD0495"/>
    <w:rsid w:val="00FD04F0"/>
    <w:rsid w:val="00FD1894"/>
    <w:rsid w:val="00FD22B5"/>
    <w:rsid w:val="00FD2728"/>
    <w:rsid w:val="00FD3C87"/>
    <w:rsid w:val="00FD4572"/>
    <w:rsid w:val="00FD4EA9"/>
    <w:rsid w:val="00FD5266"/>
    <w:rsid w:val="00FD556E"/>
    <w:rsid w:val="00FD5D84"/>
    <w:rsid w:val="00FD6A4B"/>
    <w:rsid w:val="00FD763C"/>
    <w:rsid w:val="00FD7808"/>
    <w:rsid w:val="00FD7F49"/>
    <w:rsid w:val="00FE0265"/>
    <w:rsid w:val="00FE02E8"/>
    <w:rsid w:val="00FE034E"/>
    <w:rsid w:val="00FE2528"/>
    <w:rsid w:val="00FE2D16"/>
    <w:rsid w:val="00FE308B"/>
    <w:rsid w:val="00FE319A"/>
    <w:rsid w:val="00FE3B24"/>
    <w:rsid w:val="00FE4117"/>
    <w:rsid w:val="00FE4424"/>
    <w:rsid w:val="00FE513A"/>
    <w:rsid w:val="00FE51F5"/>
    <w:rsid w:val="00FE6782"/>
    <w:rsid w:val="00FE6AC6"/>
    <w:rsid w:val="00FE75DB"/>
    <w:rsid w:val="00FE77F9"/>
    <w:rsid w:val="00FF016F"/>
    <w:rsid w:val="00FF0782"/>
    <w:rsid w:val="00FF2734"/>
    <w:rsid w:val="00FF28BE"/>
    <w:rsid w:val="00FF2ACC"/>
    <w:rsid w:val="00FF2B8E"/>
    <w:rsid w:val="00FF2DEF"/>
    <w:rsid w:val="00FF40D1"/>
    <w:rsid w:val="00FF4297"/>
    <w:rsid w:val="00FF4501"/>
    <w:rsid w:val="00FF45D3"/>
    <w:rsid w:val="00FF47B0"/>
    <w:rsid w:val="00FF4AB4"/>
    <w:rsid w:val="00FF582E"/>
    <w:rsid w:val="00FF5D89"/>
    <w:rsid w:val="00FF5EBF"/>
    <w:rsid w:val="00FF659B"/>
    <w:rsid w:val="00FF6A8F"/>
    <w:rsid w:val="00FF6C9E"/>
    <w:rsid w:val="00FF7A29"/>
    <w:rsid w:val="00FF7BDD"/>
    <w:rsid w:val="00FF7CA5"/>
    <w:rsid w:val="00FF7DC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D8EDB9"/>
  <w15:docId w15:val="{9D9ACF83-3B02-7740-B692-FA01EB553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NZ"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Normal Text"/>
    <w:qFormat/>
    <w:rsid w:val="00463A14"/>
    <w:rPr>
      <w:rFonts w:ascii="Open Sans" w:hAnsi="Open Sans"/>
      <w:sz w:val="20"/>
      <w:szCs w:val="20"/>
    </w:rPr>
  </w:style>
  <w:style w:type="paragraph" w:styleId="Heading1">
    <w:name w:val="heading 1"/>
    <w:basedOn w:val="Normal"/>
    <w:next w:val="Normal"/>
    <w:link w:val="Heading1Char"/>
    <w:autoRedefine/>
    <w:uiPriority w:val="9"/>
    <w:qFormat/>
    <w:rsid w:val="00290113"/>
    <w:pPr>
      <w:keepNext/>
      <w:keepLines/>
      <w:pageBreakBefore/>
      <w:numPr>
        <w:numId w:val="8"/>
      </w:numPr>
      <w:tabs>
        <w:tab w:val="clear" w:pos="284"/>
      </w:tabs>
      <w:spacing w:before="480" w:after="800" w:line="240" w:lineRule="auto"/>
      <w:jc w:val="left"/>
      <w:outlineLvl w:val="0"/>
    </w:pPr>
    <w:rPr>
      <w:rFonts w:ascii="Open Sans Semibold" w:eastAsiaTheme="majorEastAsia" w:hAnsi="Open Sans Semibold" w:cstheme="majorBidi"/>
      <w:b/>
      <w:bCs/>
      <w:noProof/>
      <w:color w:val="36497F"/>
      <w:sz w:val="32"/>
      <w:szCs w:val="32"/>
      <w:lang w:val="en-GB" w:eastAsia="zh-CN"/>
    </w:rPr>
  </w:style>
  <w:style w:type="paragraph" w:styleId="Heading2">
    <w:name w:val="heading 2"/>
    <w:basedOn w:val="Normal"/>
    <w:next w:val="Normal"/>
    <w:link w:val="Heading2Char"/>
    <w:uiPriority w:val="9"/>
    <w:unhideWhenUsed/>
    <w:qFormat/>
    <w:rsid w:val="001D53A8"/>
    <w:pPr>
      <w:keepNext/>
      <w:keepLines/>
      <w:numPr>
        <w:ilvl w:val="1"/>
        <w:numId w:val="8"/>
      </w:numPr>
      <w:spacing w:before="240" w:after="240"/>
      <w:jc w:val="left"/>
      <w:outlineLvl w:val="1"/>
    </w:pPr>
    <w:rPr>
      <w:rFonts w:ascii="Open Sans Semibold" w:eastAsiaTheme="majorEastAsia" w:hAnsi="Open Sans Semibold"/>
      <w:b/>
      <w:bCs/>
      <w:color w:val="243A7E"/>
      <w:sz w:val="24"/>
      <w:szCs w:val="24"/>
      <w:lang w:val="en-GB" w:eastAsia="zh-TW"/>
    </w:rPr>
  </w:style>
  <w:style w:type="paragraph" w:styleId="Heading3">
    <w:name w:val="heading 3"/>
    <w:basedOn w:val="Normal"/>
    <w:next w:val="Normal"/>
    <w:link w:val="Heading3Char"/>
    <w:uiPriority w:val="9"/>
    <w:unhideWhenUsed/>
    <w:qFormat/>
    <w:rsid w:val="001D53A8"/>
    <w:pPr>
      <w:keepNext/>
      <w:keepLines/>
      <w:numPr>
        <w:ilvl w:val="2"/>
        <w:numId w:val="8"/>
      </w:numPr>
      <w:spacing w:before="240" w:after="240"/>
      <w:jc w:val="left"/>
      <w:outlineLvl w:val="2"/>
    </w:pPr>
    <w:rPr>
      <w:rFonts w:ascii="Open Sans Semibold" w:eastAsiaTheme="majorEastAsia" w:hAnsi="Open Sans Semibold" w:cstheme="majorBidi"/>
      <w:b/>
      <w:bCs/>
      <w:i/>
      <w:iCs/>
    </w:rPr>
  </w:style>
  <w:style w:type="paragraph" w:styleId="Heading4">
    <w:name w:val="heading 4"/>
    <w:basedOn w:val="Normal"/>
    <w:next w:val="Normal"/>
    <w:link w:val="Heading4Char"/>
    <w:uiPriority w:val="9"/>
    <w:unhideWhenUsed/>
    <w:qFormat/>
    <w:rsid w:val="00513BD2"/>
    <w:pPr>
      <w:keepNext/>
      <w:keepLines/>
      <w:numPr>
        <w:ilvl w:val="3"/>
        <w:numId w:val="1"/>
      </w:numPr>
      <w:spacing w:before="200" w:after="240"/>
      <w:outlineLvl w:val="3"/>
    </w:pPr>
    <w:rPr>
      <w:rFonts w:ascii="Open Sans Semibold" w:eastAsiaTheme="majorEastAsia" w:hAnsi="Open Sans Semibold" w:cstheme="majorBidi"/>
      <w:b/>
      <w:bCs/>
      <w:i/>
      <w:iCs/>
      <w:color w:val="000000" w:themeColor="text1"/>
    </w:rPr>
  </w:style>
  <w:style w:type="paragraph" w:styleId="Heading5">
    <w:name w:val="heading 5"/>
    <w:basedOn w:val="Normal"/>
    <w:next w:val="Normal"/>
    <w:link w:val="Heading5Char"/>
    <w:uiPriority w:val="9"/>
    <w:unhideWhenUsed/>
    <w:qFormat/>
    <w:rsid w:val="007F212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143C"/>
    <w:rPr>
      <w:rFonts w:ascii="Tahoma" w:hAnsi="Tahoma" w:cs="Tahoma"/>
      <w:sz w:val="16"/>
      <w:szCs w:val="16"/>
    </w:rPr>
  </w:style>
  <w:style w:type="character" w:customStyle="1" w:styleId="BalloonTextChar">
    <w:name w:val="Balloon Text Char"/>
    <w:basedOn w:val="DefaultParagraphFont"/>
    <w:link w:val="BalloonText"/>
    <w:uiPriority w:val="99"/>
    <w:semiHidden/>
    <w:rsid w:val="00A5143C"/>
    <w:rPr>
      <w:rFonts w:ascii="Tahoma" w:eastAsia="Times New Roman" w:hAnsi="Tahoma" w:cs="Tahoma"/>
      <w:sz w:val="16"/>
      <w:szCs w:val="16"/>
      <w:lang w:val="en-US"/>
    </w:rPr>
  </w:style>
  <w:style w:type="paragraph" w:styleId="Header">
    <w:name w:val="header"/>
    <w:basedOn w:val="Normal"/>
    <w:link w:val="HeaderChar"/>
    <w:uiPriority w:val="99"/>
    <w:unhideWhenUsed/>
    <w:rsid w:val="00A5143C"/>
    <w:pPr>
      <w:tabs>
        <w:tab w:val="center" w:pos="4513"/>
        <w:tab w:val="right" w:pos="9026"/>
      </w:tabs>
    </w:pPr>
  </w:style>
  <w:style w:type="character" w:customStyle="1" w:styleId="HeaderChar">
    <w:name w:val="Header Char"/>
    <w:basedOn w:val="DefaultParagraphFont"/>
    <w:link w:val="Header"/>
    <w:uiPriority w:val="99"/>
    <w:rsid w:val="00A5143C"/>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F78D3"/>
    <w:pPr>
      <w:tabs>
        <w:tab w:val="center" w:pos="4513"/>
        <w:tab w:val="right" w:pos="9026"/>
      </w:tabs>
    </w:pPr>
    <w:rPr>
      <w:sz w:val="16"/>
    </w:rPr>
  </w:style>
  <w:style w:type="character" w:customStyle="1" w:styleId="FooterChar">
    <w:name w:val="Footer Char"/>
    <w:basedOn w:val="DefaultParagraphFont"/>
    <w:link w:val="Footer"/>
    <w:uiPriority w:val="99"/>
    <w:rsid w:val="006F78D3"/>
    <w:rPr>
      <w:rFonts w:ascii="Open Sans" w:hAnsi="Open Sans"/>
      <w:sz w:val="16"/>
    </w:rPr>
  </w:style>
  <w:style w:type="character" w:customStyle="1" w:styleId="Heading1Char">
    <w:name w:val="Heading 1 Char"/>
    <w:basedOn w:val="DefaultParagraphFont"/>
    <w:link w:val="Heading1"/>
    <w:uiPriority w:val="9"/>
    <w:rsid w:val="00290113"/>
    <w:rPr>
      <w:rFonts w:ascii="Open Sans Semibold" w:eastAsiaTheme="majorEastAsia" w:hAnsi="Open Sans Semibold" w:cstheme="majorBidi"/>
      <w:b/>
      <w:bCs/>
      <w:noProof/>
      <w:color w:val="36497F"/>
      <w:sz w:val="32"/>
      <w:szCs w:val="32"/>
      <w:lang w:val="en-GB" w:eastAsia="zh-CN"/>
    </w:rPr>
  </w:style>
  <w:style w:type="paragraph" w:styleId="NoSpacing">
    <w:name w:val="No Spacing"/>
    <w:uiPriority w:val="1"/>
    <w:qFormat/>
    <w:rsid w:val="00360B3F"/>
    <w:pPr>
      <w:spacing w:after="0"/>
    </w:pPr>
    <w:rPr>
      <w:rFonts w:ascii="Open Sans" w:hAnsi="Open Sans"/>
      <w:sz w:val="20"/>
    </w:rPr>
  </w:style>
  <w:style w:type="character" w:customStyle="1" w:styleId="Heading2Char">
    <w:name w:val="Heading 2 Char"/>
    <w:basedOn w:val="DefaultParagraphFont"/>
    <w:link w:val="Heading2"/>
    <w:uiPriority w:val="9"/>
    <w:rsid w:val="001D53A8"/>
    <w:rPr>
      <w:rFonts w:ascii="Open Sans Semibold" w:eastAsiaTheme="majorEastAsia" w:hAnsi="Open Sans Semibold"/>
      <w:b/>
      <w:bCs/>
      <w:color w:val="243A7E"/>
      <w:sz w:val="24"/>
      <w:szCs w:val="24"/>
      <w:lang w:val="en-GB" w:eastAsia="zh-TW"/>
    </w:rPr>
  </w:style>
  <w:style w:type="paragraph" w:styleId="TOC1">
    <w:name w:val="toc 1"/>
    <w:basedOn w:val="Normal"/>
    <w:next w:val="Normal"/>
    <w:autoRedefine/>
    <w:uiPriority w:val="39"/>
    <w:unhideWhenUsed/>
    <w:rsid w:val="0084429C"/>
    <w:pPr>
      <w:tabs>
        <w:tab w:val="left" w:pos="480"/>
        <w:tab w:val="right" w:leader="dot" w:pos="9016"/>
      </w:tabs>
      <w:spacing w:before="80" w:after="80" w:line="240" w:lineRule="auto"/>
    </w:pPr>
    <w:rPr>
      <w:color w:val="243A7E"/>
    </w:rPr>
  </w:style>
  <w:style w:type="character" w:styleId="Hyperlink">
    <w:name w:val="Hyperlink"/>
    <w:basedOn w:val="DefaultParagraphFont"/>
    <w:uiPriority w:val="99"/>
    <w:unhideWhenUsed/>
    <w:rsid w:val="00A00D08"/>
    <w:rPr>
      <w:color w:val="0000FF" w:themeColor="hyperlink"/>
      <w:u w:val="single"/>
    </w:rPr>
  </w:style>
  <w:style w:type="character" w:customStyle="1" w:styleId="Heading3Char">
    <w:name w:val="Heading 3 Char"/>
    <w:basedOn w:val="DefaultParagraphFont"/>
    <w:link w:val="Heading3"/>
    <w:uiPriority w:val="9"/>
    <w:rsid w:val="001D53A8"/>
    <w:rPr>
      <w:rFonts w:ascii="Open Sans Semibold" w:eastAsiaTheme="majorEastAsia" w:hAnsi="Open Sans Semibold" w:cstheme="majorBidi"/>
      <w:b/>
      <w:bCs/>
      <w:i/>
      <w:iCs/>
      <w:sz w:val="20"/>
      <w:szCs w:val="20"/>
    </w:rPr>
  </w:style>
  <w:style w:type="paragraph" w:styleId="TOC2">
    <w:name w:val="toc 2"/>
    <w:basedOn w:val="Normal"/>
    <w:next w:val="Normal"/>
    <w:autoRedefine/>
    <w:uiPriority w:val="39"/>
    <w:unhideWhenUsed/>
    <w:rsid w:val="00560EEC"/>
    <w:pPr>
      <w:tabs>
        <w:tab w:val="left" w:pos="880"/>
        <w:tab w:val="right" w:leader="dot" w:pos="9016"/>
      </w:tabs>
      <w:spacing w:before="80" w:after="80" w:line="240" w:lineRule="auto"/>
      <w:ind w:left="238"/>
    </w:pPr>
    <w:rPr>
      <w:color w:val="243A7E"/>
    </w:rPr>
  </w:style>
  <w:style w:type="paragraph" w:styleId="TOC3">
    <w:name w:val="toc 3"/>
    <w:basedOn w:val="Normal"/>
    <w:next w:val="Normal"/>
    <w:autoRedefine/>
    <w:uiPriority w:val="39"/>
    <w:unhideWhenUsed/>
    <w:rsid w:val="00560EEC"/>
    <w:pPr>
      <w:spacing w:before="80" w:after="80"/>
      <w:ind w:left="482"/>
    </w:pPr>
    <w:rPr>
      <w:color w:val="243A7E"/>
    </w:rPr>
  </w:style>
  <w:style w:type="paragraph" w:styleId="ListParagraph">
    <w:name w:val="List Paragraph"/>
    <w:basedOn w:val="Normal"/>
    <w:uiPriority w:val="34"/>
    <w:qFormat/>
    <w:rsid w:val="004C2D76"/>
    <w:pPr>
      <w:spacing w:after="0" w:line="240" w:lineRule="auto"/>
      <w:ind w:left="720"/>
      <w:contextualSpacing/>
    </w:pPr>
  </w:style>
  <w:style w:type="character" w:customStyle="1" w:styleId="Heading4Char">
    <w:name w:val="Heading 4 Char"/>
    <w:basedOn w:val="DefaultParagraphFont"/>
    <w:link w:val="Heading4"/>
    <w:uiPriority w:val="9"/>
    <w:rsid w:val="00513BD2"/>
    <w:rPr>
      <w:rFonts w:ascii="Open Sans Semibold" w:eastAsiaTheme="majorEastAsia" w:hAnsi="Open Sans Semibold" w:cstheme="majorBidi"/>
      <w:b/>
      <w:bCs/>
      <w:i/>
      <w:iCs/>
      <w:color w:val="000000" w:themeColor="text1"/>
      <w:sz w:val="20"/>
      <w:szCs w:val="20"/>
    </w:rPr>
  </w:style>
  <w:style w:type="paragraph" w:styleId="Caption">
    <w:name w:val="caption"/>
    <w:basedOn w:val="Normal"/>
    <w:next w:val="Normal"/>
    <w:uiPriority w:val="35"/>
    <w:unhideWhenUsed/>
    <w:qFormat/>
    <w:rsid w:val="00754B8C"/>
    <w:pPr>
      <w:spacing w:line="240" w:lineRule="auto"/>
    </w:pPr>
    <w:rPr>
      <w:b/>
      <w:bCs/>
      <w:color w:val="193972"/>
    </w:rPr>
  </w:style>
  <w:style w:type="paragraph" w:styleId="EndnoteText">
    <w:name w:val="endnote text"/>
    <w:basedOn w:val="Normal"/>
    <w:link w:val="EndnoteTextChar"/>
    <w:uiPriority w:val="99"/>
    <w:semiHidden/>
    <w:unhideWhenUsed/>
    <w:rsid w:val="0028307A"/>
    <w:pPr>
      <w:spacing w:after="0" w:line="240" w:lineRule="auto"/>
    </w:pPr>
  </w:style>
  <w:style w:type="character" w:customStyle="1" w:styleId="EndnoteTextChar">
    <w:name w:val="Endnote Text Char"/>
    <w:basedOn w:val="DefaultParagraphFont"/>
    <w:link w:val="EndnoteText"/>
    <w:uiPriority w:val="99"/>
    <w:semiHidden/>
    <w:rsid w:val="0028307A"/>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28307A"/>
    <w:rPr>
      <w:vertAlign w:val="superscript"/>
    </w:rPr>
  </w:style>
  <w:style w:type="paragraph" w:styleId="FootnoteText">
    <w:name w:val="footnote text"/>
    <w:basedOn w:val="Normal"/>
    <w:link w:val="FootnoteTextChar"/>
    <w:unhideWhenUsed/>
    <w:rsid w:val="00EF4EF5"/>
    <w:pPr>
      <w:spacing w:after="0" w:line="240" w:lineRule="auto"/>
    </w:pPr>
    <w:rPr>
      <w:sz w:val="16"/>
    </w:rPr>
  </w:style>
  <w:style w:type="character" w:customStyle="1" w:styleId="FootnoteTextChar">
    <w:name w:val="Footnote Text Char"/>
    <w:basedOn w:val="DefaultParagraphFont"/>
    <w:link w:val="FootnoteText"/>
    <w:rsid w:val="00EF4EF5"/>
    <w:rPr>
      <w:rFonts w:ascii="Open Sans" w:hAnsi="Open Sans"/>
      <w:sz w:val="16"/>
      <w:szCs w:val="20"/>
    </w:rPr>
  </w:style>
  <w:style w:type="character" w:styleId="FootnoteReference">
    <w:name w:val="footnote reference"/>
    <w:basedOn w:val="DefaultParagraphFont"/>
    <w:unhideWhenUsed/>
    <w:rsid w:val="00401080"/>
    <w:rPr>
      <w:rFonts w:ascii="Open Sans" w:hAnsi="Open Sans"/>
      <w:b w:val="0"/>
      <w:bCs w:val="0"/>
      <w:i w:val="0"/>
      <w:iCs w:val="0"/>
      <w:sz w:val="16"/>
      <w:vertAlign w:val="superscript"/>
    </w:rPr>
  </w:style>
  <w:style w:type="character" w:customStyle="1" w:styleId="Heading5Char">
    <w:name w:val="Heading 5 Char"/>
    <w:basedOn w:val="DefaultParagraphFont"/>
    <w:link w:val="Heading5"/>
    <w:uiPriority w:val="9"/>
    <w:rsid w:val="007F2129"/>
    <w:rPr>
      <w:rFonts w:asciiTheme="majorHAnsi" w:eastAsiaTheme="majorEastAsia" w:hAnsiTheme="majorHAnsi" w:cstheme="majorBidi"/>
      <w:color w:val="365F91" w:themeColor="accent1" w:themeShade="BF"/>
      <w:sz w:val="20"/>
    </w:rPr>
  </w:style>
  <w:style w:type="paragraph" w:styleId="NormalWeb">
    <w:name w:val="Normal (Web)"/>
    <w:basedOn w:val="Normal"/>
    <w:uiPriority w:val="99"/>
    <w:semiHidden/>
    <w:unhideWhenUsed/>
    <w:rsid w:val="00CF7724"/>
    <w:pPr>
      <w:spacing w:before="100" w:beforeAutospacing="1" w:after="100" w:afterAutospacing="1" w:line="240" w:lineRule="auto"/>
    </w:pPr>
    <w:rPr>
      <w:lang w:eastAsia="en-NZ"/>
    </w:rPr>
  </w:style>
  <w:style w:type="paragraph" w:customStyle="1" w:styleId="Quotation">
    <w:name w:val="Quotation"/>
    <w:basedOn w:val="Normal"/>
    <w:rsid w:val="007F2129"/>
    <w:pPr>
      <w:spacing w:before="60" w:after="60" w:line="240" w:lineRule="auto"/>
      <w:ind w:right="567"/>
    </w:pPr>
    <w:rPr>
      <w:rFonts w:ascii="Calibri" w:hAnsi="Calibri"/>
      <w:i/>
      <w:lang w:eastAsia="en-GB"/>
    </w:rPr>
  </w:style>
  <w:style w:type="paragraph" w:customStyle="1" w:styleId="zTableNotes">
    <w:name w:val="z_Table Notes"/>
    <w:basedOn w:val="Normal"/>
    <w:rsid w:val="00677878"/>
    <w:pPr>
      <w:numPr>
        <w:numId w:val="2"/>
      </w:numPr>
      <w:spacing w:before="20" w:after="0" w:line="240" w:lineRule="auto"/>
    </w:pPr>
    <w:rPr>
      <w:rFonts w:ascii="Calibri" w:hAnsi="Calibri"/>
      <w:sz w:val="16"/>
      <w:szCs w:val="16"/>
      <w:lang w:eastAsia="en-NZ"/>
    </w:rPr>
  </w:style>
  <w:style w:type="paragraph" w:customStyle="1" w:styleId="Captiontable">
    <w:name w:val="Caption table"/>
    <w:basedOn w:val="Normal"/>
    <w:rsid w:val="007F2129"/>
    <w:pPr>
      <w:keepNext/>
      <w:spacing w:before="60" w:after="60" w:line="240" w:lineRule="auto"/>
    </w:pPr>
    <w:rPr>
      <w:rFonts w:ascii="Calibri" w:hAnsi="Calibri"/>
      <w:b/>
      <w:lang w:eastAsia="en-GB"/>
    </w:rPr>
  </w:style>
  <w:style w:type="paragraph" w:customStyle="1" w:styleId="Captionfigure">
    <w:name w:val="Caption figure"/>
    <w:basedOn w:val="Normal"/>
    <w:rsid w:val="007F2129"/>
    <w:pPr>
      <w:keepNext/>
      <w:spacing w:before="60" w:after="60" w:line="240" w:lineRule="auto"/>
    </w:pPr>
    <w:rPr>
      <w:rFonts w:ascii="Calibri" w:hAnsi="Calibri"/>
      <w:b/>
      <w:lang w:eastAsia="en-GB"/>
    </w:rPr>
  </w:style>
  <w:style w:type="table" w:styleId="TableGrid">
    <w:name w:val="Table Grid"/>
    <w:basedOn w:val="TableNormal"/>
    <w:uiPriority w:val="59"/>
    <w:rsid w:val="00197DD4"/>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ListParagraph"/>
    <w:qFormat/>
    <w:locked/>
    <w:rsid w:val="00677878"/>
    <w:pPr>
      <w:numPr>
        <w:numId w:val="7"/>
      </w:numPr>
      <w:spacing w:before="240" w:after="240" w:line="276" w:lineRule="auto"/>
      <w:contextualSpacing w:val="0"/>
    </w:pPr>
  </w:style>
  <w:style w:type="paragraph" w:customStyle="1" w:styleId="Bullet2ndlevel">
    <w:name w:val="Bullet 2nd level"/>
    <w:basedOn w:val="BulletedList"/>
    <w:locked/>
    <w:rsid w:val="00677878"/>
    <w:pPr>
      <w:numPr>
        <w:ilvl w:val="1"/>
      </w:numPr>
      <w:tabs>
        <w:tab w:val="num" w:pos="360"/>
      </w:tabs>
    </w:pPr>
  </w:style>
  <w:style w:type="paragraph" w:customStyle="1" w:styleId="Bullet3rdlevel">
    <w:name w:val="Bullet 3rd level"/>
    <w:basedOn w:val="BulletedList"/>
    <w:locked/>
    <w:rsid w:val="00677878"/>
    <w:pPr>
      <w:numPr>
        <w:ilvl w:val="2"/>
      </w:numPr>
      <w:tabs>
        <w:tab w:val="num" w:pos="360"/>
      </w:tabs>
    </w:pPr>
  </w:style>
  <w:style w:type="numbering" w:customStyle="1" w:styleId="NZIERBullet1List">
    <w:name w:val="NZIER Bullet 1 List"/>
    <w:uiPriority w:val="99"/>
    <w:rsid w:val="00677878"/>
    <w:pPr>
      <w:numPr>
        <w:numId w:val="3"/>
      </w:numPr>
    </w:pPr>
  </w:style>
  <w:style w:type="character" w:styleId="CommentReference">
    <w:name w:val="annotation reference"/>
    <w:basedOn w:val="DefaultParagraphFont"/>
    <w:uiPriority w:val="99"/>
    <w:semiHidden/>
    <w:unhideWhenUsed/>
    <w:rsid w:val="00A414F5"/>
    <w:rPr>
      <w:sz w:val="16"/>
      <w:szCs w:val="16"/>
    </w:rPr>
  </w:style>
  <w:style w:type="paragraph" w:styleId="CommentText">
    <w:name w:val="annotation text"/>
    <w:basedOn w:val="Normal"/>
    <w:link w:val="CommentTextChar"/>
    <w:uiPriority w:val="99"/>
    <w:semiHidden/>
    <w:unhideWhenUsed/>
    <w:rsid w:val="00A414F5"/>
    <w:pPr>
      <w:spacing w:line="240" w:lineRule="auto"/>
    </w:pPr>
  </w:style>
  <w:style w:type="character" w:customStyle="1" w:styleId="CommentTextChar">
    <w:name w:val="Comment Text Char"/>
    <w:basedOn w:val="DefaultParagraphFont"/>
    <w:link w:val="CommentText"/>
    <w:uiPriority w:val="99"/>
    <w:semiHidden/>
    <w:rsid w:val="00A414F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414F5"/>
    <w:rPr>
      <w:b/>
      <w:bCs/>
    </w:rPr>
  </w:style>
  <w:style w:type="character" w:customStyle="1" w:styleId="CommentSubjectChar">
    <w:name w:val="Comment Subject Char"/>
    <w:basedOn w:val="CommentTextChar"/>
    <w:link w:val="CommentSubject"/>
    <w:uiPriority w:val="99"/>
    <w:semiHidden/>
    <w:rsid w:val="00A414F5"/>
    <w:rPr>
      <w:rFonts w:ascii="Times New Roman" w:eastAsia="Times New Roman" w:hAnsi="Times New Roman" w:cs="Times New Roman"/>
      <w:b/>
      <w:bCs/>
      <w:sz w:val="20"/>
      <w:szCs w:val="20"/>
      <w:lang w:val="en-US"/>
    </w:rPr>
  </w:style>
  <w:style w:type="paragraph" w:customStyle="1" w:styleId="Outlinenumber">
    <w:name w:val="Outline number"/>
    <w:basedOn w:val="Normal"/>
    <w:rsid w:val="00677878"/>
    <w:pPr>
      <w:numPr>
        <w:numId w:val="4"/>
      </w:numPr>
      <w:spacing w:after="60" w:line="240" w:lineRule="auto"/>
    </w:pPr>
    <w:rPr>
      <w:rFonts w:ascii="Calibri" w:hAnsi="Calibri"/>
      <w:lang w:eastAsia="en-GB"/>
    </w:rPr>
  </w:style>
  <w:style w:type="table" w:styleId="MediumGrid2-Accent1">
    <w:name w:val="Medium Grid 2 Accent 1"/>
    <w:basedOn w:val="TableNormal"/>
    <w:uiPriority w:val="68"/>
    <w:rsid w:val="00C876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Quote">
    <w:name w:val="Quote"/>
    <w:basedOn w:val="Normal"/>
    <w:next w:val="Normal"/>
    <w:link w:val="QuoteChar"/>
    <w:uiPriority w:val="29"/>
    <w:qFormat/>
    <w:rsid w:val="00C876F1"/>
    <w:pPr>
      <w:spacing w:after="0"/>
      <w:ind w:left="567" w:right="851"/>
    </w:pPr>
    <w:rPr>
      <w:i/>
      <w:iCs/>
      <w:color w:val="1F497D" w:themeColor="text2"/>
    </w:rPr>
  </w:style>
  <w:style w:type="character" w:customStyle="1" w:styleId="QuoteChar">
    <w:name w:val="Quote Char"/>
    <w:basedOn w:val="DefaultParagraphFont"/>
    <w:link w:val="Quote"/>
    <w:uiPriority w:val="29"/>
    <w:rsid w:val="00C876F1"/>
    <w:rPr>
      <w:i/>
      <w:iCs/>
      <w:color w:val="1F497D" w:themeColor="text2"/>
    </w:rPr>
  </w:style>
  <w:style w:type="table" w:styleId="LightShading-Accent5">
    <w:name w:val="Light Shading Accent 5"/>
    <w:basedOn w:val="TableNormal"/>
    <w:uiPriority w:val="60"/>
    <w:rsid w:val="00C876F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C876F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
    <w:name w:val="Light Shading - Accent 111"/>
    <w:basedOn w:val="TableNormal"/>
    <w:uiPriority w:val="60"/>
    <w:rsid w:val="00AF3F2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225825"/>
    <w:pPr>
      <w:spacing w:after="0" w:line="240" w:lineRule="auto"/>
    </w:pPr>
    <w:rPr>
      <w:rFonts w:ascii="Times New Roman" w:eastAsia="Times New Roman" w:hAnsi="Times New Roman" w:cs="Times New Roman"/>
      <w:sz w:val="24"/>
      <w:szCs w:val="24"/>
      <w:lang w:val="en-US"/>
    </w:rPr>
  </w:style>
  <w:style w:type="paragraph" w:styleId="TableofFigures">
    <w:name w:val="table of figures"/>
    <w:basedOn w:val="Normal"/>
    <w:next w:val="Normal"/>
    <w:uiPriority w:val="99"/>
    <w:unhideWhenUsed/>
    <w:rsid w:val="00BF220A"/>
    <w:pPr>
      <w:tabs>
        <w:tab w:val="right" w:leader="dot" w:pos="9016"/>
      </w:tabs>
      <w:spacing w:after="0"/>
    </w:pPr>
    <w:rPr>
      <w:rFonts w:eastAsia="PMingLiU"/>
      <w:noProof/>
      <w:color w:val="36497F"/>
    </w:rPr>
  </w:style>
  <w:style w:type="paragraph" w:styleId="ListBullet">
    <w:name w:val="List Bullet"/>
    <w:basedOn w:val="Normal"/>
    <w:uiPriority w:val="99"/>
    <w:unhideWhenUsed/>
    <w:rsid w:val="00677878"/>
    <w:pPr>
      <w:numPr>
        <w:numId w:val="5"/>
      </w:numPr>
      <w:contextualSpacing/>
    </w:pPr>
  </w:style>
  <w:style w:type="paragraph" w:customStyle="1" w:styleId="Outline2">
    <w:name w:val="Outline 2"/>
    <w:basedOn w:val="Normal"/>
    <w:rsid w:val="00677878"/>
    <w:pPr>
      <w:numPr>
        <w:numId w:val="6"/>
      </w:numPr>
      <w:spacing w:before="240" w:after="0" w:line="280" w:lineRule="atLeast"/>
    </w:pPr>
    <w:rPr>
      <w:rFonts w:ascii="Arial" w:hAnsi="Arial"/>
      <w:lang w:eastAsia="en-GB"/>
    </w:rPr>
  </w:style>
  <w:style w:type="paragraph" w:customStyle="1" w:styleId="Outlinelevel1">
    <w:name w:val="Outline level 1"/>
    <w:basedOn w:val="Normal"/>
    <w:rsid w:val="00677878"/>
    <w:pPr>
      <w:numPr>
        <w:ilvl w:val="5"/>
        <w:numId w:val="6"/>
      </w:numPr>
      <w:spacing w:before="120" w:after="0" w:line="280" w:lineRule="atLeast"/>
    </w:pPr>
    <w:rPr>
      <w:rFonts w:ascii="Arial" w:hAnsi="Arial"/>
      <w:lang w:eastAsia="en-GB"/>
    </w:rPr>
  </w:style>
  <w:style w:type="paragraph" w:customStyle="1" w:styleId="Outlinelevela">
    <w:name w:val="Outline level a)"/>
    <w:basedOn w:val="Normal"/>
    <w:rsid w:val="00677878"/>
    <w:pPr>
      <w:numPr>
        <w:ilvl w:val="3"/>
        <w:numId w:val="6"/>
      </w:numPr>
      <w:spacing w:before="120" w:after="0" w:line="280" w:lineRule="atLeast"/>
    </w:pPr>
    <w:rPr>
      <w:rFonts w:ascii="Arial" w:hAnsi="Arial"/>
      <w:lang w:eastAsia="en-GB"/>
    </w:rPr>
  </w:style>
  <w:style w:type="paragraph" w:customStyle="1" w:styleId="Outlinelevelbullet">
    <w:name w:val="Outline level bullet"/>
    <w:basedOn w:val="Normal"/>
    <w:rsid w:val="00677878"/>
    <w:pPr>
      <w:numPr>
        <w:ilvl w:val="6"/>
        <w:numId w:val="6"/>
      </w:numPr>
      <w:spacing w:before="120" w:after="0" w:line="280" w:lineRule="atLeast"/>
    </w:pPr>
    <w:rPr>
      <w:rFonts w:ascii="Arial" w:hAnsi="Arial"/>
      <w:lang w:eastAsia="en-GB"/>
    </w:rPr>
  </w:style>
  <w:style w:type="paragraph" w:customStyle="1" w:styleId="Outlineleveldash">
    <w:name w:val="Outline level dash"/>
    <w:basedOn w:val="Normal"/>
    <w:rsid w:val="00677878"/>
    <w:pPr>
      <w:numPr>
        <w:ilvl w:val="7"/>
        <w:numId w:val="6"/>
      </w:numPr>
      <w:spacing w:before="120" w:after="0" w:line="280" w:lineRule="atLeast"/>
    </w:pPr>
    <w:rPr>
      <w:rFonts w:ascii="Arial" w:hAnsi="Arial"/>
      <w:lang w:eastAsia="en-GB"/>
    </w:rPr>
  </w:style>
  <w:style w:type="paragraph" w:customStyle="1" w:styleId="Outlineleveli">
    <w:name w:val="Outline level i"/>
    <w:basedOn w:val="Normal"/>
    <w:rsid w:val="00677878"/>
    <w:pPr>
      <w:numPr>
        <w:ilvl w:val="4"/>
        <w:numId w:val="6"/>
      </w:numPr>
      <w:spacing w:before="120" w:after="0" w:line="280" w:lineRule="atLeast"/>
    </w:pPr>
    <w:rPr>
      <w:rFonts w:ascii="Arial" w:hAnsi="Arial"/>
      <w:lang w:eastAsia="en-GB"/>
    </w:rPr>
  </w:style>
  <w:style w:type="character" w:customStyle="1" w:styleId="highlightedsearchterm">
    <w:name w:val="highlightedsearchterm"/>
    <w:basedOn w:val="DefaultParagraphFont"/>
    <w:rsid w:val="00FC451C"/>
  </w:style>
  <w:style w:type="paragraph" w:customStyle="1" w:styleId="Default">
    <w:name w:val="Default"/>
    <w:rsid w:val="001727E5"/>
    <w:pPr>
      <w:autoSpaceDE w:val="0"/>
      <w:autoSpaceDN w:val="0"/>
      <w:adjustRightInd w:val="0"/>
      <w:spacing w:after="0" w:line="240" w:lineRule="auto"/>
    </w:pPr>
    <w:rPr>
      <w:rFonts w:ascii="Arial" w:eastAsia="Times New Roman" w:hAnsi="Arial" w:cs="Arial"/>
      <w:color w:val="000000"/>
      <w:sz w:val="24"/>
      <w:szCs w:val="24"/>
      <w:lang w:eastAsia="en-NZ"/>
    </w:rPr>
  </w:style>
  <w:style w:type="table" w:customStyle="1" w:styleId="TableGrid1">
    <w:name w:val="Table Grid1"/>
    <w:basedOn w:val="TableNormal"/>
    <w:next w:val="TableGrid"/>
    <w:rsid w:val="001727E5"/>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1727E5"/>
  </w:style>
  <w:style w:type="character" w:styleId="FollowedHyperlink">
    <w:name w:val="FollowedHyperlink"/>
    <w:basedOn w:val="DefaultParagraphFont"/>
    <w:uiPriority w:val="99"/>
    <w:semiHidden/>
    <w:unhideWhenUsed/>
    <w:rsid w:val="00C00D0C"/>
    <w:rPr>
      <w:color w:val="800080" w:themeColor="followedHyperlink"/>
      <w:u w:val="single"/>
    </w:rPr>
  </w:style>
  <w:style w:type="character" w:customStyle="1" w:styleId="hover">
    <w:name w:val="hover"/>
    <w:basedOn w:val="DefaultParagraphFont"/>
    <w:rsid w:val="000F46FB"/>
  </w:style>
  <w:style w:type="character" w:styleId="PlaceholderText">
    <w:name w:val="Placeholder Text"/>
    <w:basedOn w:val="DefaultParagraphFont"/>
    <w:uiPriority w:val="99"/>
    <w:semiHidden/>
    <w:rsid w:val="001D16CB"/>
    <w:rPr>
      <w:color w:val="808080"/>
    </w:rPr>
  </w:style>
  <w:style w:type="character" w:customStyle="1" w:styleId="MathematicaFormatStandardForm">
    <w:name w:val="MathematicaFormatStandardForm"/>
    <w:uiPriority w:val="99"/>
    <w:rsid w:val="001711DB"/>
    <w:rPr>
      <w:rFonts w:ascii="Courier" w:hAnsi="Courier" w:cs="Courier"/>
    </w:rPr>
  </w:style>
  <w:style w:type="paragraph" w:customStyle="1" w:styleId="Footnotes">
    <w:name w:val="Footnotes"/>
    <w:basedOn w:val="FootnoteText"/>
    <w:qFormat/>
    <w:rsid w:val="00DB35F9"/>
    <w:rPr>
      <w:szCs w:val="16"/>
    </w:rPr>
  </w:style>
  <w:style w:type="paragraph" w:styleId="TOC4">
    <w:name w:val="toc 4"/>
    <w:basedOn w:val="Normal"/>
    <w:next w:val="Normal"/>
    <w:autoRedefine/>
    <w:uiPriority w:val="39"/>
    <w:unhideWhenUsed/>
    <w:rsid w:val="00560EEC"/>
    <w:pPr>
      <w:ind w:left="600"/>
    </w:pPr>
  </w:style>
  <w:style w:type="paragraph" w:styleId="TOC5">
    <w:name w:val="toc 5"/>
    <w:basedOn w:val="Normal"/>
    <w:next w:val="Normal"/>
    <w:autoRedefine/>
    <w:uiPriority w:val="39"/>
    <w:unhideWhenUsed/>
    <w:rsid w:val="00560EEC"/>
    <w:pPr>
      <w:ind w:left="800"/>
    </w:pPr>
  </w:style>
  <w:style w:type="paragraph" w:styleId="TOC6">
    <w:name w:val="toc 6"/>
    <w:basedOn w:val="Normal"/>
    <w:next w:val="Normal"/>
    <w:autoRedefine/>
    <w:uiPriority w:val="39"/>
    <w:unhideWhenUsed/>
    <w:rsid w:val="00560EEC"/>
    <w:pPr>
      <w:ind w:left="1000"/>
    </w:pPr>
  </w:style>
  <w:style w:type="paragraph" w:styleId="TOC7">
    <w:name w:val="toc 7"/>
    <w:basedOn w:val="Normal"/>
    <w:next w:val="Normal"/>
    <w:autoRedefine/>
    <w:uiPriority w:val="39"/>
    <w:unhideWhenUsed/>
    <w:rsid w:val="00560EEC"/>
    <w:pPr>
      <w:ind w:left="1200"/>
    </w:pPr>
  </w:style>
  <w:style w:type="paragraph" w:styleId="TOC8">
    <w:name w:val="toc 8"/>
    <w:basedOn w:val="Normal"/>
    <w:next w:val="Normal"/>
    <w:autoRedefine/>
    <w:uiPriority w:val="39"/>
    <w:unhideWhenUsed/>
    <w:rsid w:val="00560EEC"/>
    <w:pPr>
      <w:ind w:left="1400"/>
    </w:pPr>
  </w:style>
  <w:style w:type="paragraph" w:styleId="TOC9">
    <w:name w:val="toc 9"/>
    <w:basedOn w:val="Normal"/>
    <w:next w:val="Normal"/>
    <w:autoRedefine/>
    <w:uiPriority w:val="39"/>
    <w:unhideWhenUsed/>
    <w:rsid w:val="00560EEC"/>
    <w:pPr>
      <w:ind w:left="1600"/>
    </w:pPr>
  </w:style>
  <w:style w:type="paragraph" w:styleId="TOCHeading">
    <w:name w:val="TOC Heading"/>
    <w:basedOn w:val="Heading1"/>
    <w:next w:val="Normal"/>
    <w:uiPriority w:val="39"/>
    <w:unhideWhenUsed/>
    <w:qFormat/>
    <w:rsid w:val="00230BDF"/>
    <w:pPr>
      <w:numPr>
        <w:numId w:val="0"/>
      </w:numPr>
      <w:spacing w:before="240" w:after="0" w:line="276" w:lineRule="auto"/>
      <w:jc w:val="both"/>
      <w:outlineLvl w:val="9"/>
    </w:pPr>
    <w:rPr>
      <w:rFonts w:asciiTheme="majorHAnsi" w:hAnsiTheme="majorHAnsi"/>
      <w:bCs w:val="0"/>
      <w:color w:val="365F91" w:themeColor="accent1" w:themeShade="BF"/>
    </w:rPr>
  </w:style>
  <w:style w:type="character" w:styleId="Strong">
    <w:name w:val="Strong"/>
    <w:basedOn w:val="DefaultParagraphFont"/>
    <w:uiPriority w:val="22"/>
    <w:qFormat/>
    <w:rsid w:val="00B07AC6"/>
    <w:rPr>
      <w:b/>
      <w:bCs/>
    </w:rPr>
  </w:style>
  <w:style w:type="character" w:customStyle="1" w:styleId="apple-converted-space">
    <w:name w:val="apple-converted-space"/>
    <w:basedOn w:val="DefaultParagraphFont"/>
    <w:rsid w:val="00504B6E"/>
  </w:style>
  <w:style w:type="paragraph" w:customStyle="1" w:styleId="BasicParagraph">
    <w:name w:val="[Basic Paragraph]"/>
    <w:basedOn w:val="Normal"/>
    <w:uiPriority w:val="99"/>
    <w:rsid w:val="00CF55D2"/>
    <w:pPr>
      <w:autoSpaceDE w:val="0"/>
      <w:autoSpaceDN w:val="0"/>
      <w:adjustRightInd w:val="0"/>
      <w:spacing w:after="0" w:line="288" w:lineRule="auto"/>
      <w:jc w:val="left"/>
      <w:textAlignment w:val="center"/>
    </w:pPr>
    <w:rPr>
      <w:rFonts w:ascii="MinionPro-Regular" w:hAnsi="MinionPro-Regular" w:cs="MinionPro-Regular"/>
      <w:color w:val="000000"/>
      <w:sz w:val="24"/>
      <w:szCs w:val="24"/>
      <w:lang w:val="en-US"/>
    </w:rPr>
  </w:style>
  <w:style w:type="paragraph" w:customStyle="1" w:styleId="Briefingtext">
    <w:name w:val="Briefing text"/>
    <w:basedOn w:val="Normal"/>
    <w:rsid w:val="0020073F"/>
    <w:pPr>
      <w:numPr>
        <w:numId w:val="10"/>
      </w:numPr>
      <w:tabs>
        <w:tab w:val="left" w:pos="567"/>
      </w:tabs>
      <w:spacing w:after="120" w:line="240" w:lineRule="auto"/>
    </w:pPr>
    <w:rPr>
      <w:rFonts w:ascii="Arial Mäori" w:eastAsia="Times New Roman" w:hAnsi="Arial Mäori" w:cs="Times New Roman"/>
      <w:sz w:val="24"/>
      <w:szCs w:val="24"/>
    </w:rPr>
  </w:style>
  <w:style w:type="paragraph" w:styleId="BodyText">
    <w:name w:val="Body Text"/>
    <w:basedOn w:val="Normal"/>
    <w:link w:val="BodyTextChar"/>
    <w:rsid w:val="007F076C"/>
    <w:pPr>
      <w:spacing w:line="280" w:lineRule="atLeast"/>
      <w:jc w:val="left"/>
    </w:pPr>
    <w:rPr>
      <w:rFonts w:ascii="Arial" w:eastAsia="Times New Roman" w:hAnsi="Arial" w:cs="Times New Roman"/>
      <w:sz w:val="22"/>
      <w:szCs w:val="24"/>
    </w:rPr>
  </w:style>
  <w:style w:type="character" w:customStyle="1" w:styleId="BodyTextChar">
    <w:name w:val="Body Text Char"/>
    <w:basedOn w:val="DefaultParagraphFont"/>
    <w:link w:val="BodyText"/>
    <w:rsid w:val="007F076C"/>
    <w:rPr>
      <w:rFonts w:ascii="Arial" w:eastAsia="Times New Roman" w:hAnsi="Arial" w:cs="Times New Roman"/>
      <w:szCs w:val="24"/>
    </w:rPr>
  </w:style>
  <w:style w:type="paragraph" w:styleId="BlockText">
    <w:name w:val="Block Text"/>
    <w:basedOn w:val="BodyText"/>
    <w:rsid w:val="00281016"/>
    <w:pPr>
      <w:spacing w:before="60" w:after="60" w:line="240" w:lineRule="auto"/>
      <w:ind w:left="1871"/>
    </w:pPr>
    <w:rPr>
      <w:rFonts w:ascii="Calibri" w:hAnsi="Calibri"/>
      <w:szCs w:val="20"/>
      <w:lang w:eastAsia="en-NZ"/>
    </w:rPr>
  </w:style>
  <w:style w:type="character" w:styleId="UnresolvedMention">
    <w:name w:val="Unresolved Mention"/>
    <w:basedOn w:val="DefaultParagraphFont"/>
    <w:uiPriority w:val="99"/>
    <w:rsid w:val="008307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6370">
      <w:bodyDiv w:val="1"/>
      <w:marLeft w:val="0"/>
      <w:marRight w:val="0"/>
      <w:marTop w:val="0"/>
      <w:marBottom w:val="0"/>
      <w:divBdr>
        <w:top w:val="none" w:sz="0" w:space="0" w:color="auto"/>
        <w:left w:val="none" w:sz="0" w:space="0" w:color="auto"/>
        <w:bottom w:val="none" w:sz="0" w:space="0" w:color="auto"/>
        <w:right w:val="none" w:sz="0" w:space="0" w:color="auto"/>
      </w:divBdr>
    </w:div>
    <w:div w:id="19478819">
      <w:bodyDiv w:val="1"/>
      <w:marLeft w:val="0"/>
      <w:marRight w:val="0"/>
      <w:marTop w:val="0"/>
      <w:marBottom w:val="0"/>
      <w:divBdr>
        <w:top w:val="none" w:sz="0" w:space="0" w:color="auto"/>
        <w:left w:val="none" w:sz="0" w:space="0" w:color="auto"/>
        <w:bottom w:val="none" w:sz="0" w:space="0" w:color="auto"/>
        <w:right w:val="none" w:sz="0" w:space="0" w:color="auto"/>
      </w:divBdr>
    </w:div>
    <w:div w:id="41253195">
      <w:bodyDiv w:val="1"/>
      <w:marLeft w:val="0"/>
      <w:marRight w:val="0"/>
      <w:marTop w:val="0"/>
      <w:marBottom w:val="0"/>
      <w:divBdr>
        <w:top w:val="none" w:sz="0" w:space="0" w:color="auto"/>
        <w:left w:val="none" w:sz="0" w:space="0" w:color="auto"/>
        <w:bottom w:val="none" w:sz="0" w:space="0" w:color="auto"/>
        <w:right w:val="none" w:sz="0" w:space="0" w:color="auto"/>
      </w:divBdr>
      <w:divsChild>
        <w:div w:id="844441242">
          <w:marLeft w:val="0"/>
          <w:marRight w:val="0"/>
          <w:marTop w:val="0"/>
          <w:marBottom w:val="0"/>
          <w:divBdr>
            <w:top w:val="none" w:sz="0" w:space="0" w:color="auto"/>
            <w:left w:val="none" w:sz="0" w:space="0" w:color="auto"/>
            <w:bottom w:val="none" w:sz="0" w:space="0" w:color="auto"/>
            <w:right w:val="none" w:sz="0" w:space="0" w:color="auto"/>
          </w:divBdr>
          <w:divsChild>
            <w:div w:id="855535028">
              <w:marLeft w:val="0"/>
              <w:marRight w:val="0"/>
              <w:marTop w:val="0"/>
              <w:marBottom w:val="0"/>
              <w:divBdr>
                <w:top w:val="none" w:sz="0" w:space="0" w:color="auto"/>
                <w:left w:val="none" w:sz="0" w:space="0" w:color="auto"/>
                <w:bottom w:val="none" w:sz="0" w:space="0" w:color="auto"/>
                <w:right w:val="none" w:sz="0" w:space="0" w:color="auto"/>
              </w:divBdr>
              <w:divsChild>
                <w:div w:id="12565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0748">
      <w:bodyDiv w:val="1"/>
      <w:marLeft w:val="0"/>
      <w:marRight w:val="0"/>
      <w:marTop w:val="0"/>
      <w:marBottom w:val="0"/>
      <w:divBdr>
        <w:top w:val="none" w:sz="0" w:space="0" w:color="auto"/>
        <w:left w:val="none" w:sz="0" w:space="0" w:color="auto"/>
        <w:bottom w:val="none" w:sz="0" w:space="0" w:color="auto"/>
        <w:right w:val="none" w:sz="0" w:space="0" w:color="auto"/>
      </w:divBdr>
    </w:div>
    <w:div w:id="75136303">
      <w:bodyDiv w:val="1"/>
      <w:marLeft w:val="0"/>
      <w:marRight w:val="0"/>
      <w:marTop w:val="0"/>
      <w:marBottom w:val="0"/>
      <w:divBdr>
        <w:top w:val="none" w:sz="0" w:space="0" w:color="auto"/>
        <w:left w:val="none" w:sz="0" w:space="0" w:color="auto"/>
        <w:bottom w:val="none" w:sz="0" w:space="0" w:color="auto"/>
        <w:right w:val="none" w:sz="0" w:space="0" w:color="auto"/>
      </w:divBdr>
      <w:divsChild>
        <w:div w:id="1495799639">
          <w:marLeft w:val="0"/>
          <w:marRight w:val="0"/>
          <w:marTop w:val="0"/>
          <w:marBottom w:val="0"/>
          <w:divBdr>
            <w:top w:val="none" w:sz="0" w:space="0" w:color="auto"/>
            <w:left w:val="none" w:sz="0" w:space="0" w:color="auto"/>
            <w:bottom w:val="none" w:sz="0" w:space="0" w:color="auto"/>
            <w:right w:val="none" w:sz="0" w:space="0" w:color="auto"/>
          </w:divBdr>
          <w:divsChild>
            <w:div w:id="1861965232">
              <w:marLeft w:val="0"/>
              <w:marRight w:val="0"/>
              <w:marTop w:val="0"/>
              <w:marBottom w:val="0"/>
              <w:divBdr>
                <w:top w:val="none" w:sz="0" w:space="0" w:color="auto"/>
                <w:left w:val="none" w:sz="0" w:space="0" w:color="auto"/>
                <w:bottom w:val="none" w:sz="0" w:space="0" w:color="auto"/>
                <w:right w:val="none" w:sz="0" w:space="0" w:color="auto"/>
              </w:divBdr>
              <w:divsChild>
                <w:div w:id="3609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3887">
      <w:bodyDiv w:val="1"/>
      <w:marLeft w:val="0"/>
      <w:marRight w:val="0"/>
      <w:marTop w:val="0"/>
      <w:marBottom w:val="0"/>
      <w:divBdr>
        <w:top w:val="none" w:sz="0" w:space="0" w:color="auto"/>
        <w:left w:val="none" w:sz="0" w:space="0" w:color="auto"/>
        <w:bottom w:val="none" w:sz="0" w:space="0" w:color="auto"/>
        <w:right w:val="none" w:sz="0" w:space="0" w:color="auto"/>
      </w:divBdr>
    </w:div>
    <w:div w:id="100758002">
      <w:bodyDiv w:val="1"/>
      <w:marLeft w:val="0"/>
      <w:marRight w:val="0"/>
      <w:marTop w:val="0"/>
      <w:marBottom w:val="0"/>
      <w:divBdr>
        <w:top w:val="none" w:sz="0" w:space="0" w:color="auto"/>
        <w:left w:val="none" w:sz="0" w:space="0" w:color="auto"/>
        <w:bottom w:val="none" w:sz="0" w:space="0" w:color="auto"/>
        <w:right w:val="none" w:sz="0" w:space="0" w:color="auto"/>
      </w:divBdr>
    </w:div>
    <w:div w:id="100952786">
      <w:bodyDiv w:val="1"/>
      <w:marLeft w:val="0"/>
      <w:marRight w:val="0"/>
      <w:marTop w:val="0"/>
      <w:marBottom w:val="0"/>
      <w:divBdr>
        <w:top w:val="none" w:sz="0" w:space="0" w:color="auto"/>
        <w:left w:val="none" w:sz="0" w:space="0" w:color="auto"/>
        <w:bottom w:val="none" w:sz="0" w:space="0" w:color="auto"/>
        <w:right w:val="none" w:sz="0" w:space="0" w:color="auto"/>
      </w:divBdr>
      <w:divsChild>
        <w:div w:id="220092329">
          <w:marLeft w:val="0"/>
          <w:marRight w:val="0"/>
          <w:marTop w:val="0"/>
          <w:marBottom w:val="0"/>
          <w:divBdr>
            <w:top w:val="none" w:sz="0" w:space="0" w:color="auto"/>
            <w:left w:val="none" w:sz="0" w:space="0" w:color="auto"/>
            <w:bottom w:val="none" w:sz="0" w:space="0" w:color="auto"/>
            <w:right w:val="none" w:sz="0" w:space="0" w:color="auto"/>
          </w:divBdr>
          <w:divsChild>
            <w:div w:id="510880462">
              <w:marLeft w:val="0"/>
              <w:marRight w:val="0"/>
              <w:marTop w:val="0"/>
              <w:marBottom w:val="0"/>
              <w:divBdr>
                <w:top w:val="none" w:sz="0" w:space="0" w:color="auto"/>
                <w:left w:val="none" w:sz="0" w:space="0" w:color="auto"/>
                <w:bottom w:val="none" w:sz="0" w:space="0" w:color="auto"/>
                <w:right w:val="none" w:sz="0" w:space="0" w:color="auto"/>
              </w:divBdr>
              <w:divsChild>
                <w:div w:id="50077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40893">
      <w:bodyDiv w:val="1"/>
      <w:marLeft w:val="0"/>
      <w:marRight w:val="0"/>
      <w:marTop w:val="0"/>
      <w:marBottom w:val="0"/>
      <w:divBdr>
        <w:top w:val="none" w:sz="0" w:space="0" w:color="auto"/>
        <w:left w:val="none" w:sz="0" w:space="0" w:color="auto"/>
        <w:bottom w:val="none" w:sz="0" w:space="0" w:color="auto"/>
        <w:right w:val="none" w:sz="0" w:space="0" w:color="auto"/>
      </w:divBdr>
    </w:div>
    <w:div w:id="139426823">
      <w:bodyDiv w:val="1"/>
      <w:marLeft w:val="0"/>
      <w:marRight w:val="0"/>
      <w:marTop w:val="0"/>
      <w:marBottom w:val="0"/>
      <w:divBdr>
        <w:top w:val="none" w:sz="0" w:space="0" w:color="auto"/>
        <w:left w:val="none" w:sz="0" w:space="0" w:color="auto"/>
        <w:bottom w:val="none" w:sz="0" w:space="0" w:color="auto"/>
        <w:right w:val="none" w:sz="0" w:space="0" w:color="auto"/>
      </w:divBdr>
    </w:div>
    <w:div w:id="189101459">
      <w:bodyDiv w:val="1"/>
      <w:marLeft w:val="0"/>
      <w:marRight w:val="0"/>
      <w:marTop w:val="0"/>
      <w:marBottom w:val="0"/>
      <w:divBdr>
        <w:top w:val="none" w:sz="0" w:space="0" w:color="auto"/>
        <w:left w:val="none" w:sz="0" w:space="0" w:color="auto"/>
        <w:bottom w:val="none" w:sz="0" w:space="0" w:color="auto"/>
        <w:right w:val="none" w:sz="0" w:space="0" w:color="auto"/>
      </w:divBdr>
    </w:div>
    <w:div w:id="223956555">
      <w:bodyDiv w:val="1"/>
      <w:marLeft w:val="0"/>
      <w:marRight w:val="0"/>
      <w:marTop w:val="0"/>
      <w:marBottom w:val="0"/>
      <w:divBdr>
        <w:top w:val="none" w:sz="0" w:space="0" w:color="auto"/>
        <w:left w:val="none" w:sz="0" w:space="0" w:color="auto"/>
        <w:bottom w:val="none" w:sz="0" w:space="0" w:color="auto"/>
        <w:right w:val="none" w:sz="0" w:space="0" w:color="auto"/>
      </w:divBdr>
    </w:div>
    <w:div w:id="224071090">
      <w:bodyDiv w:val="1"/>
      <w:marLeft w:val="0"/>
      <w:marRight w:val="0"/>
      <w:marTop w:val="0"/>
      <w:marBottom w:val="0"/>
      <w:divBdr>
        <w:top w:val="none" w:sz="0" w:space="0" w:color="auto"/>
        <w:left w:val="none" w:sz="0" w:space="0" w:color="auto"/>
        <w:bottom w:val="none" w:sz="0" w:space="0" w:color="auto"/>
        <w:right w:val="none" w:sz="0" w:space="0" w:color="auto"/>
      </w:divBdr>
    </w:div>
    <w:div w:id="238641958">
      <w:bodyDiv w:val="1"/>
      <w:marLeft w:val="0"/>
      <w:marRight w:val="0"/>
      <w:marTop w:val="0"/>
      <w:marBottom w:val="0"/>
      <w:divBdr>
        <w:top w:val="none" w:sz="0" w:space="0" w:color="auto"/>
        <w:left w:val="none" w:sz="0" w:space="0" w:color="auto"/>
        <w:bottom w:val="none" w:sz="0" w:space="0" w:color="auto"/>
        <w:right w:val="none" w:sz="0" w:space="0" w:color="auto"/>
      </w:divBdr>
    </w:div>
    <w:div w:id="240679868">
      <w:bodyDiv w:val="1"/>
      <w:marLeft w:val="0"/>
      <w:marRight w:val="0"/>
      <w:marTop w:val="0"/>
      <w:marBottom w:val="0"/>
      <w:divBdr>
        <w:top w:val="none" w:sz="0" w:space="0" w:color="auto"/>
        <w:left w:val="none" w:sz="0" w:space="0" w:color="auto"/>
        <w:bottom w:val="none" w:sz="0" w:space="0" w:color="auto"/>
        <w:right w:val="none" w:sz="0" w:space="0" w:color="auto"/>
      </w:divBdr>
    </w:div>
    <w:div w:id="250546567">
      <w:bodyDiv w:val="1"/>
      <w:marLeft w:val="0"/>
      <w:marRight w:val="0"/>
      <w:marTop w:val="0"/>
      <w:marBottom w:val="0"/>
      <w:divBdr>
        <w:top w:val="none" w:sz="0" w:space="0" w:color="auto"/>
        <w:left w:val="none" w:sz="0" w:space="0" w:color="auto"/>
        <w:bottom w:val="none" w:sz="0" w:space="0" w:color="auto"/>
        <w:right w:val="none" w:sz="0" w:space="0" w:color="auto"/>
      </w:divBdr>
      <w:divsChild>
        <w:div w:id="1041367841">
          <w:marLeft w:val="0"/>
          <w:marRight w:val="0"/>
          <w:marTop w:val="0"/>
          <w:marBottom w:val="0"/>
          <w:divBdr>
            <w:top w:val="none" w:sz="0" w:space="0" w:color="auto"/>
            <w:left w:val="none" w:sz="0" w:space="0" w:color="auto"/>
            <w:bottom w:val="none" w:sz="0" w:space="0" w:color="auto"/>
            <w:right w:val="none" w:sz="0" w:space="0" w:color="auto"/>
          </w:divBdr>
          <w:divsChild>
            <w:div w:id="1671448379">
              <w:marLeft w:val="0"/>
              <w:marRight w:val="0"/>
              <w:marTop w:val="0"/>
              <w:marBottom w:val="0"/>
              <w:divBdr>
                <w:top w:val="none" w:sz="0" w:space="0" w:color="auto"/>
                <w:left w:val="none" w:sz="0" w:space="0" w:color="auto"/>
                <w:bottom w:val="none" w:sz="0" w:space="0" w:color="auto"/>
                <w:right w:val="none" w:sz="0" w:space="0" w:color="auto"/>
              </w:divBdr>
              <w:divsChild>
                <w:div w:id="616639807">
                  <w:marLeft w:val="0"/>
                  <w:marRight w:val="0"/>
                  <w:marTop w:val="0"/>
                  <w:marBottom w:val="0"/>
                  <w:divBdr>
                    <w:top w:val="none" w:sz="0" w:space="0" w:color="auto"/>
                    <w:left w:val="none" w:sz="0" w:space="0" w:color="auto"/>
                    <w:bottom w:val="none" w:sz="0" w:space="0" w:color="auto"/>
                    <w:right w:val="none" w:sz="0" w:space="0" w:color="auto"/>
                  </w:divBdr>
                  <w:divsChild>
                    <w:div w:id="19140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783192">
      <w:bodyDiv w:val="1"/>
      <w:marLeft w:val="0"/>
      <w:marRight w:val="0"/>
      <w:marTop w:val="0"/>
      <w:marBottom w:val="0"/>
      <w:divBdr>
        <w:top w:val="none" w:sz="0" w:space="0" w:color="auto"/>
        <w:left w:val="none" w:sz="0" w:space="0" w:color="auto"/>
        <w:bottom w:val="none" w:sz="0" w:space="0" w:color="auto"/>
        <w:right w:val="none" w:sz="0" w:space="0" w:color="auto"/>
      </w:divBdr>
    </w:div>
    <w:div w:id="266692855">
      <w:bodyDiv w:val="1"/>
      <w:marLeft w:val="0"/>
      <w:marRight w:val="0"/>
      <w:marTop w:val="0"/>
      <w:marBottom w:val="0"/>
      <w:divBdr>
        <w:top w:val="none" w:sz="0" w:space="0" w:color="auto"/>
        <w:left w:val="none" w:sz="0" w:space="0" w:color="auto"/>
        <w:bottom w:val="none" w:sz="0" w:space="0" w:color="auto"/>
        <w:right w:val="none" w:sz="0" w:space="0" w:color="auto"/>
      </w:divBdr>
    </w:div>
    <w:div w:id="267087497">
      <w:bodyDiv w:val="1"/>
      <w:marLeft w:val="0"/>
      <w:marRight w:val="0"/>
      <w:marTop w:val="0"/>
      <w:marBottom w:val="0"/>
      <w:divBdr>
        <w:top w:val="none" w:sz="0" w:space="0" w:color="auto"/>
        <w:left w:val="none" w:sz="0" w:space="0" w:color="auto"/>
        <w:bottom w:val="none" w:sz="0" w:space="0" w:color="auto"/>
        <w:right w:val="none" w:sz="0" w:space="0" w:color="auto"/>
      </w:divBdr>
    </w:div>
    <w:div w:id="282736606">
      <w:bodyDiv w:val="1"/>
      <w:marLeft w:val="0"/>
      <w:marRight w:val="0"/>
      <w:marTop w:val="0"/>
      <w:marBottom w:val="0"/>
      <w:divBdr>
        <w:top w:val="none" w:sz="0" w:space="0" w:color="auto"/>
        <w:left w:val="none" w:sz="0" w:space="0" w:color="auto"/>
        <w:bottom w:val="none" w:sz="0" w:space="0" w:color="auto"/>
        <w:right w:val="none" w:sz="0" w:space="0" w:color="auto"/>
      </w:divBdr>
    </w:div>
    <w:div w:id="287782894">
      <w:bodyDiv w:val="1"/>
      <w:marLeft w:val="0"/>
      <w:marRight w:val="0"/>
      <w:marTop w:val="0"/>
      <w:marBottom w:val="0"/>
      <w:divBdr>
        <w:top w:val="none" w:sz="0" w:space="0" w:color="auto"/>
        <w:left w:val="none" w:sz="0" w:space="0" w:color="auto"/>
        <w:bottom w:val="none" w:sz="0" w:space="0" w:color="auto"/>
        <w:right w:val="none" w:sz="0" w:space="0" w:color="auto"/>
      </w:divBdr>
    </w:div>
    <w:div w:id="290720205">
      <w:bodyDiv w:val="1"/>
      <w:marLeft w:val="0"/>
      <w:marRight w:val="0"/>
      <w:marTop w:val="0"/>
      <w:marBottom w:val="0"/>
      <w:divBdr>
        <w:top w:val="none" w:sz="0" w:space="0" w:color="auto"/>
        <w:left w:val="none" w:sz="0" w:space="0" w:color="auto"/>
        <w:bottom w:val="none" w:sz="0" w:space="0" w:color="auto"/>
        <w:right w:val="none" w:sz="0" w:space="0" w:color="auto"/>
      </w:divBdr>
    </w:div>
    <w:div w:id="291206409">
      <w:bodyDiv w:val="1"/>
      <w:marLeft w:val="0"/>
      <w:marRight w:val="0"/>
      <w:marTop w:val="0"/>
      <w:marBottom w:val="0"/>
      <w:divBdr>
        <w:top w:val="none" w:sz="0" w:space="0" w:color="auto"/>
        <w:left w:val="none" w:sz="0" w:space="0" w:color="auto"/>
        <w:bottom w:val="none" w:sz="0" w:space="0" w:color="auto"/>
        <w:right w:val="none" w:sz="0" w:space="0" w:color="auto"/>
      </w:divBdr>
    </w:div>
    <w:div w:id="294026085">
      <w:bodyDiv w:val="1"/>
      <w:marLeft w:val="0"/>
      <w:marRight w:val="0"/>
      <w:marTop w:val="0"/>
      <w:marBottom w:val="0"/>
      <w:divBdr>
        <w:top w:val="none" w:sz="0" w:space="0" w:color="auto"/>
        <w:left w:val="none" w:sz="0" w:space="0" w:color="auto"/>
        <w:bottom w:val="none" w:sz="0" w:space="0" w:color="auto"/>
        <w:right w:val="none" w:sz="0" w:space="0" w:color="auto"/>
      </w:divBdr>
    </w:div>
    <w:div w:id="297420210">
      <w:bodyDiv w:val="1"/>
      <w:marLeft w:val="0"/>
      <w:marRight w:val="0"/>
      <w:marTop w:val="0"/>
      <w:marBottom w:val="0"/>
      <w:divBdr>
        <w:top w:val="none" w:sz="0" w:space="0" w:color="auto"/>
        <w:left w:val="none" w:sz="0" w:space="0" w:color="auto"/>
        <w:bottom w:val="none" w:sz="0" w:space="0" w:color="auto"/>
        <w:right w:val="none" w:sz="0" w:space="0" w:color="auto"/>
      </w:divBdr>
      <w:divsChild>
        <w:div w:id="238950002">
          <w:marLeft w:val="0"/>
          <w:marRight w:val="0"/>
          <w:marTop w:val="0"/>
          <w:marBottom w:val="0"/>
          <w:divBdr>
            <w:top w:val="none" w:sz="0" w:space="0" w:color="auto"/>
            <w:left w:val="none" w:sz="0" w:space="0" w:color="auto"/>
            <w:bottom w:val="none" w:sz="0" w:space="0" w:color="auto"/>
            <w:right w:val="none" w:sz="0" w:space="0" w:color="auto"/>
          </w:divBdr>
          <w:divsChild>
            <w:div w:id="1884781257">
              <w:marLeft w:val="0"/>
              <w:marRight w:val="0"/>
              <w:marTop w:val="0"/>
              <w:marBottom w:val="0"/>
              <w:divBdr>
                <w:top w:val="none" w:sz="0" w:space="0" w:color="auto"/>
                <w:left w:val="none" w:sz="0" w:space="0" w:color="auto"/>
                <w:bottom w:val="none" w:sz="0" w:space="0" w:color="auto"/>
                <w:right w:val="none" w:sz="0" w:space="0" w:color="auto"/>
              </w:divBdr>
              <w:divsChild>
                <w:div w:id="202246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04174">
      <w:bodyDiv w:val="1"/>
      <w:marLeft w:val="0"/>
      <w:marRight w:val="0"/>
      <w:marTop w:val="0"/>
      <w:marBottom w:val="0"/>
      <w:divBdr>
        <w:top w:val="none" w:sz="0" w:space="0" w:color="auto"/>
        <w:left w:val="none" w:sz="0" w:space="0" w:color="auto"/>
        <w:bottom w:val="none" w:sz="0" w:space="0" w:color="auto"/>
        <w:right w:val="none" w:sz="0" w:space="0" w:color="auto"/>
      </w:divBdr>
    </w:div>
    <w:div w:id="321738091">
      <w:bodyDiv w:val="1"/>
      <w:marLeft w:val="0"/>
      <w:marRight w:val="0"/>
      <w:marTop w:val="0"/>
      <w:marBottom w:val="0"/>
      <w:divBdr>
        <w:top w:val="none" w:sz="0" w:space="0" w:color="auto"/>
        <w:left w:val="none" w:sz="0" w:space="0" w:color="auto"/>
        <w:bottom w:val="none" w:sz="0" w:space="0" w:color="auto"/>
        <w:right w:val="none" w:sz="0" w:space="0" w:color="auto"/>
      </w:divBdr>
    </w:div>
    <w:div w:id="368992284">
      <w:bodyDiv w:val="1"/>
      <w:marLeft w:val="0"/>
      <w:marRight w:val="0"/>
      <w:marTop w:val="0"/>
      <w:marBottom w:val="0"/>
      <w:divBdr>
        <w:top w:val="none" w:sz="0" w:space="0" w:color="auto"/>
        <w:left w:val="none" w:sz="0" w:space="0" w:color="auto"/>
        <w:bottom w:val="none" w:sz="0" w:space="0" w:color="auto"/>
        <w:right w:val="none" w:sz="0" w:space="0" w:color="auto"/>
      </w:divBdr>
    </w:div>
    <w:div w:id="369768310">
      <w:bodyDiv w:val="1"/>
      <w:marLeft w:val="0"/>
      <w:marRight w:val="0"/>
      <w:marTop w:val="0"/>
      <w:marBottom w:val="0"/>
      <w:divBdr>
        <w:top w:val="none" w:sz="0" w:space="0" w:color="auto"/>
        <w:left w:val="none" w:sz="0" w:space="0" w:color="auto"/>
        <w:bottom w:val="none" w:sz="0" w:space="0" w:color="auto"/>
        <w:right w:val="none" w:sz="0" w:space="0" w:color="auto"/>
      </w:divBdr>
    </w:div>
    <w:div w:id="380251346">
      <w:bodyDiv w:val="1"/>
      <w:marLeft w:val="0"/>
      <w:marRight w:val="0"/>
      <w:marTop w:val="0"/>
      <w:marBottom w:val="0"/>
      <w:divBdr>
        <w:top w:val="none" w:sz="0" w:space="0" w:color="auto"/>
        <w:left w:val="none" w:sz="0" w:space="0" w:color="auto"/>
        <w:bottom w:val="none" w:sz="0" w:space="0" w:color="auto"/>
        <w:right w:val="none" w:sz="0" w:space="0" w:color="auto"/>
      </w:divBdr>
    </w:div>
    <w:div w:id="417601738">
      <w:bodyDiv w:val="1"/>
      <w:marLeft w:val="0"/>
      <w:marRight w:val="0"/>
      <w:marTop w:val="0"/>
      <w:marBottom w:val="0"/>
      <w:divBdr>
        <w:top w:val="none" w:sz="0" w:space="0" w:color="auto"/>
        <w:left w:val="none" w:sz="0" w:space="0" w:color="auto"/>
        <w:bottom w:val="none" w:sz="0" w:space="0" w:color="auto"/>
        <w:right w:val="none" w:sz="0" w:space="0" w:color="auto"/>
      </w:divBdr>
    </w:div>
    <w:div w:id="462581805">
      <w:bodyDiv w:val="1"/>
      <w:marLeft w:val="0"/>
      <w:marRight w:val="0"/>
      <w:marTop w:val="0"/>
      <w:marBottom w:val="0"/>
      <w:divBdr>
        <w:top w:val="none" w:sz="0" w:space="0" w:color="auto"/>
        <w:left w:val="none" w:sz="0" w:space="0" w:color="auto"/>
        <w:bottom w:val="none" w:sz="0" w:space="0" w:color="auto"/>
        <w:right w:val="none" w:sz="0" w:space="0" w:color="auto"/>
      </w:divBdr>
    </w:div>
    <w:div w:id="485631340">
      <w:bodyDiv w:val="1"/>
      <w:marLeft w:val="0"/>
      <w:marRight w:val="0"/>
      <w:marTop w:val="0"/>
      <w:marBottom w:val="0"/>
      <w:divBdr>
        <w:top w:val="none" w:sz="0" w:space="0" w:color="auto"/>
        <w:left w:val="none" w:sz="0" w:space="0" w:color="auto"/>
        <w:bottom w:val="none" w:sz="0" w:space="0" w:color="auto"/>
        <w:right w:val="none" w:sz="0" w:space="0" w:color="auto"/>
      </w:divBdr>
    </w:div>
    <w:div w:id="537936187">
      <w:bodyDiv w:val="1"/>
      <w:marLeft w:val="0"/>
      <w:marRight w:val="0"/>
      <w:marTop w:val="0"/>
      <w:marBottom w:val="0"/>
      <w:divBdr>
        <w:top w:val="none" w:sz="0" w:space="0" w:color="auto"/>
        <w:left w:val="none" w:sz="0" w:space="0" w:color="auto"/>
        <w:bottom w:val="none" w:sz="0" w:space="0" w:color="auto"/>
        <w:right w:val="none" w:sz="0" w:space="0" w:color="auto"/>
      </w:divBdr>
    </w:div>
    <w:div w:id="546917048">
      <w:bodyDiv w:val="1"/>
      <w:marLeft w:val="0"/>
      <w:marRight w:val="0"/>
      <w:marTop w:val="0"/>
      <w:marBottom w:val="0"/>
      <w:divBdr>
        <w:top w:val="none" w:sz="0" w:space="0" w:color="auto"/>
        <w:left w:val="none" w:sz="0" w:space="0" w:color="auto"/>
        <w:bottom w:val="none" w:sz="0" w:space="0" w:color="auto"/>
        <w:right w:val="none" w:sz="0" w:space="0" w:color="auto"/>
      </w:divBdr>
    </w:div>
    <w:div w:id="552429272">
      <w:bodyDiv w:val="1"/>
      <w:marLeft w:val="0"/>
      <w:marRight w:val="0"/>
      <w:marTop w:val="0"/>
      <w:marBottom w:val="0"/>
      <w:divBdr>
        <w:top w:val="none" w:sz="0" w:space="0" w:color="auto"/>
        <w:left w:val="none" w:sz="0" w:space="0" w:color="auto"/>
        <w:bottom w:val="none" w:sz="0" w:space="0" w:color="auto"/>
        <w:right w:val="none" w:sz="0" w:space="0" w:color="auto"/>
      </w:divBdr>
      <w:divsChild>
        <w:div w:id="518860585">
          <w:marLeft w:val="0"/>
          <w:marRight w:val="0"/>
          <w:marTop w:val="0"/>
          <w:marBottom w:val="0"/>
          <w:divBdr>
            <w:top w:val="none" w:sz="0" w:space="0" w:color="auto"/>
            <w:left w:val="none" w:sz="0" w:space="0" w:color="auto"/>
            <w:bottom w:val="none" w:sz="0" w:space="0" w:color="auto"/>
            <w:right w:val="none" w:sz="0" w:space="0" w:color="auto"/>
          </w:divBdr>
          <w:divsChild>
            <w:div w:id="2136870553">
              <w:marLeft w:val="0"/>
              <w:marRight w:val="0"/>
              <w:marTop w:val="0"/>
              <w:marBottom w:val="0"/>
              <w:divBdr>
                <w:top w:val="none" w:sz="0" w:space="0" w:color="auto"/>
                <w:left w:val="none" w:sz="0" w:space="0" w:color="auto"/>
                <w:bottom w:val="none" w:sz="0" w:space="0" w:color="auto"/>
                <w:right w:val="none" w:sz="0" w:space="0" w:color="auto"/>
              </w:divBdr>
              <w:divsChild>
                <w:div w:id="204097718">
                  <w:marLeft w:val="0"/>
                  <w:marRight w:val="0"/>
                  <w:marTop w:val="0"/>
                  <w:marBottom w:val="0"/>
                  <w:divBdr>
                    <w:top w:val="none" w:sz="0" w:space="0" w:color="auto"/>
                    <w:left w:val="none" w:sz="0" w:space="0" w:color="auto"/>
                    <w:bottom w:val="none" w:sz="0" w:space="0" w:color="auto"/>
                    <w:right w:val="none" w:sz="0" w:space="0" w:color="auto"/>
                  </w:divBdr>
                  <w:divsChild>
                    <w:div w:id="201086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239597">
          <w:marLeft w:val="0"/>
          <w:marRight w:val="0"/>
          <w:marTop w:val="0"/>
          <w:marBottom w:val="0"/>
          <w:divBdr>
            <w:top w:val="none" w:sz="0" w:space="0" w:color="auto"/>
            <w:left w:val="none" w:sz="0" w:space="0" w:color="auto"/>
            <w:bottom w:val="none" w:sz="0" w:space="0" w:color="auto"/>
            <w:right w:val="none" w:sz="0" w:space="0" w:color="auto"/>
          </w:divBdr>
          <w:divsChild>
            <w:div w:id="1448814777">
              <w:marLeft w:val="0"/>
              <w:marRight w:val="0"/>
              <w:marTop w:val="0"/>
              <w:marBottom w:val="0"/>
              <w:divBdr>
                <w:top w:val="none" w:sz="0" w:space="0" w:color="auto"/>
                <w:left w:val="none" w:sz="0" w:space="0" w:color="auto"/>
                <w:bottom w:val="none" w:sz="0" w:space="0" w:color="auto"/>
                <w:right w:val="none" w:sz="0" w:space="0" w:color="auto"/>
              </w:divBdr>
              <w:divsChild>
                <w:div w:id="1099642272">
                  <w:marLeft w:val="0"/>
                  <w:marRight w:val="0"/>
                  <w:marTop w:val="0"/>
                  <w:marBottom w:val="0"/>
                  <w:divBdr>
                    <w:top w:val="none" w:sz="0" w:space="0" w:color="auto"/>
                    <w:left w:val="none" w:sz="0" w:space="0" w:color="auto"/>
                    <w:bottom w:val="none" w:sz="0" w:space="0" w:color="auto"/>
                    <w:right w:val="none" w:sz="0" w:space="0" w:color="auto"/>
                  </w:divBdr>
                  <w:divsChild>
                    <w:div w:id="15672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500378">
      <w:bodyDiv w:val="1"/>
      <w:marLeft w:val="0"/>
      <w:marRight w:val="0"/>
      <w:marTop w:val="0"/>
      <w:marBottom w:val="0"/>
      <w:divBdr>
        <w:top w:val="none" w:sz="0" w:space="0" w:color="auto"/>
        <w:left w:val="none" w:sz="0" w:space="0" w:color="auto"/>
        <w:bottom w:val="none" w:sz="0" w:space="0" w:color="auto"/>
        <w:right w:val="none" w:sz="0" w:space="0" w:color="auto"/>
      </w:divBdr>
    </w:div>
    <w:div w:id="568075848">
      <w:bodyDiv w:val="1"/>
      <w:marLeft w:val="0"/>
      <w:marRight w:val="0"/>
      <w:marTop w:val="0"/>
      <w:marBottom w:val="0"/>
      <w:divBdr>
        <w:top w:val="none" w:sz="0" w:space="0" w:color="auto"/>
        <w:left w:val="none" w:sz="0" w:space="0" w:color="auto"/>
        <w:bottom w:val="none" w:sz="0" w:space="0" w:color="auto"/>
        <w:right w:val="none" w:sz="0" w:space="0" w:color="auto"/>
      </w:divBdr>
      <w:divsChild>
        <w:div w:id="110125714">
          <w:marLeft w:val="0"/>
          <w:marRight w:val="0"/>
          <w:marTop w:val="0"/>
          <w:marBottom w:val="0"/>
          <w:divBdr>
            <w:top w:val="none" w:sz="0" w:space="0" w:color="auto"/>
            <w:left w:val="none" w:sz="0" w:space="0" w:color="auto"/>
            <w:bottom w:val="none" w:sz="0" w:space="0" w:color="auto"/>
            <w:right w:val="none" w:sz="0" w:space="0" w:color="auto"/>
          </w:divBdr>
          <w:divsChild>
            <w:div w:id="483858180">
              <w:marLeft w:val="0"/>
              <w:marRight w:val="0"/>
              <w:marTop w:val="0"/>
              <w:marBottom w:val="0"/>
              <w:divBdr>
                <w:top w:val="none" w:sz="0" w:space="0" w:color="auto"/>
                <w:left w:val="none" w:sz="0" w:space="0" w:color="auto"/>
                <w:bottom w:val="none" w:sz="0" w:space="0" w:color="auto"/>
                <w:right w:val="none" w:sz="0" w:space="0" w:color="auto"/>
              </w:divBdr>
              <w:divsChild>
                <w:div w:id="315498632">
                  <w:marLeft w:val="0"/>
                  <w:marRight w:val="0"/>
                  <w:marTop w:val="0"/>
                  <w:marBottom w:val="0"/>
                  <w:divBdr>
                    <w:top w:val="none" w:sz="0" w:space="0" w:color="auto"/>
                    <w:left w:val="none" w:sz="0" w:space="0" w:color="auto"/>
                    <w:bottom w:val="none" w:sz="0" w:space="0" w:color="auto"/>
                    <w:right w:val="none" w:sz="0" w:space="0" w:color="auto"/>
                  </w:divBdr>
                  <w:divsChild>
                    <w:div w:id="4265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296420">
      <w:bodyDiv w:val="1"/>
      <w:marLeft w:val="0"/>
      <w:marRight w:val="0"/>
      <w:marTop w:val="0"/>
      <w:marBottom w:val="0"/>
      <w:divBdr>
        <w:top w:val="none" w:sz="0" w:space="0" w:color="auto"/>
        <w:left w:val="none" w:sz="0" w:space="0" w:color="auto"/>
        <w:bottom w:val="none" w:sz="0" w:space="0" w:color="auto"/>
        <w:right w:val="none" w:sz="0" w:space="0" w:color="auto"/>
      </w:divBdr>
    </w:div>
    <w:div w:id="606160060">
      <w:bodyDiv w:val="1"/>
      <w:marLeft w:val="0"/>
      <w:marRight w:val="0"/>
      <w:marTop w:val="0"/>
      <w:marBottom w:val="0"/>
      <w:divBdr>
        <w:top w:val="none" w:sz="0" w:space="0" w:color="auto"/>
        <w:left w:val="none" w:sz="0" w:space="0" w:color="auto"/>
        <w:bottom w:val="none" w:sz="0" w:space="0" w:color="auto"/>
        <w:right w:val="none" w:sz="0" w:space="0" w:color="auto"/>
      </w:divBdr>
      <w:divsChild>
        <w:div w:id="184828543">
          <w:marLeft w:val="0"/>
          <w:marRight w:val="0"/>
          <w:marTop w:val="0"/>
          <w:marBottom w:val="0"/>
          <w:divBdr>
            <w:top w:val="none" w:sz="0" w:space="0" w:color="auto"/>
            <w:left w:val="none" w:sz="0" w:space="0" w:color="auto"/>
            <w:bottom w:val="none" w:sz="0" w:space="0" w:color="auto"/>
            <w:right w:val="none" w:sz="0" w:space="0" w:color="auto"/>
          </w:divBdr>
          <w:divsChild>
            <w:div w:id="1190949252">
              <w:marLeft w:val="0"/>
              <w:marRight w:val="0"/>
              <w:marTop w:val="0"/>
              <w:marBottom w:val="0"/>
              <w:divBdr>
                <w:top w:val="none" w:sz="0" w:space="0" w:color="auto"/>
                <w:left w:val="none" w:sz="0" w:space="0" w:color="auto"/>
                <w:bottom w:val="none" w:sz="0" w:space="0" w:color="auto"/>
                <w:right w:val="none" w:sz="0" w:space="0" w:color="auto"/>
              </w:divBdr>
              <w:divsChild>
                <w:div w:id="89319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857842">
      <w:bodyDiv w:val="1"/>
      <w:marLeft w:val="0"/>
      <w:marRight w:val="0"/>
      <w:marTop w:val="0"/>
      <w:marBottom w:val="0"/>
      <w:divBdr>
        <w:top w:val="none" w:sz="0" w:space="0" w:color="auto"/>
        <w:left w:val="none" w:sz="0" w:space="0" w:color="auto"/>
        <w:bottom w:val="none" w:sz="0" w:space="0" w:color="auto"/>
        <w:right w:val="none" w:sz="0" w:space="0" w:color="auto"/>
      </w:divBdr>
    </w:div>
    <w:div w:id="640110771">
      <w:bodyDiv w:val="1"/>
      <w:marLeft w:val="0"/>
      <w:marRight w:val="0"/>
      <w:marTop w:val="0"/>
      <w:marBottom w:val="0"/>
      <w:divBdr>
        <w:top w:val="none" w:sz="0" w:space="0" w:color="auto"/>
        <w:left w:val="none" w:sz="0" w:space="0" w:color="auto"/>
        <w:bottom w:val="none" w:sz="0" w:space="0" w:color="auto"/>
        <w:right w:val="none" w:sz="0" w:space="0" w:color="auto"/>
      </w:divBdr>
    </w:div>
    <w:div w:id="653146055">
      <w:bodyDiv w:val="1"/>
      <w:marLeft w:val="0"/>
      <w:marRight w:val="0"/>
      <w:marTop w:val="0"/>
      <w:marBottom w:val="0"/>
      <w:divBdr>
        <w:top w:val="none" w:sz="0" w:space="0" w:color="auto"/>
        <w:left w:val="none" w:sz="0" w:space="0" w:color="auto"/>
        <w:bottom w:val="none" w:sz="0" w:space="0" w:color="auto"/>
        <w:right w:val="none" w:sz="0" w:space="0" w:color="auto"/>
      </w:divBdr>
      <w:divsChild>
        <w:div w:id="918172767">
          <w:marLeft w:val="0"/>
          <w:marRight w:val="0"/>
          <w:marTop w:val="0"/>
          <w:marBottom w:val="0"/>
          <w:divBdr>
            <w:top w:val="none" w:sz="0" w:space="0" w:color="auto"/>
            <w:left w:val="none" w:sz="0" w:space="0" w:color="auto"/>
            <w:bottom w:val="none" w:sz="0" w:space="0" w:color="auto"/>
            <w:right w:val="none" w:sz="0" w:space="0" w:color="auto"/>
          </w:divBdr>
          <w:divsChild>
            <w:div w:id="839125444">
              <w:marLeft w:val="0"/>
              <w:marRight w:val="0"/>
              <w:marTop w:val="0"/>
              <w:marBottom w:val="0"/>
              <w:divBdr>
                <w:top w:val="none" w:sz="0" w:space="0" w:color="auto"/>
                <w:left w:val="none" w:sz="0" w:space="0" w:color="auto"/>
                <w:bottom w:val="none" w:sz="0" w:space="0" w:color="auto"/>
                <w:right w:val="none" w:sz="0" w:space="0" w:color="auto"/>
              </w:divBdr>
              <w:divsChild>
                <w:div w:id="43274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99721">
      <w:bodyDiv w:val="1"/>
      <w:marLeft w:val="0"/>
      <w:marRight w:val="0"/>
      <w:marTop w:val="0"/>
      <w:marBottom w:val="0"/>
      <w:divBdr>
        <w:top w:val="none" w:sz="0" w:space="0" w:color="auto"/>
        <w:left w:val="none" w:sz="0" w:space="0" w:color="auto"/>
        <w:bottom w:val="none" w:sz="0" w:space="0" w:color="auto"/>
        <w:right w:val="none" w:sz="0" w:space="0" w:color="auto"/>
      </w:divBdr>
    </w:div>
    <w:div w:id="698513109">
      <w:bodyDiv w:val="1"/>
      <w:marLeft w:val="0"/>
      <w:marRight w:val="0"/>
      <w:marTop w:val="0"/>
      <w:marBottom w:val="0"/>
      <w:divBdr>
        <w:top w:val="none" w:sz="0" w:space="0" w:color="auto"/>
        <w:left w:val="none" w:sz="0" w:space="0" w:color="auto"/>
        <w:bottom w:val="none" w:sz="0" w:space="0" w:color="auto"/>
        <w:right w:val="none" w:sz="0" w:space="0" w:color="auto"/>
      </w:divBdr>
      <w:divsChild>
        <w:div w:id="889264364">
          <w:marLeft w:val="0"/>
          <w:marRight w:val="0"/>
          <w:marTop w:val="0"/>
          <w:marBottom w:val="0"/>
          <w:divBdr>
            <w:top w:val="none" w:sz="0" w:space="0" w:color="auto"/>
            <w:left w:val="none" w:sz="0" w:space="0" w:color="auto"/>
            <w:bottom w:val="none" w:sz="0" w:space="0" w:color="auto"/>
            <w:right w:val="none" w:sz="0" w:space="0" w:color="auto"/>
          </w:divBdr>
          <w:divsChild>
            <w:div w:id="938292022">
              <w:marLeft w:val="0"/>
              <w:marRight w:val="0"/>
              <w:marTop w:val="0"/>
              <w:marBottom w:val="0"/>
              <w:divBdr>
                <w:top w:val="none" w:sz="0" w:space="0" w:color="auto"/>
                <w:left w:val="none" w:sz="0" w:space="0" w:color="auto"/>
                <w:bottom w:val="none" w:sz="0" w:space="0" w:color="auto"/>
                <w:right w:val="none" w:sz="0" w:space="0" w:color="auto"/>
              </w:divBdr>
              <w:divsChild>
                <w:div w:id="135877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98816">
      <w:bodyDiv w:val="1"/>
      <w:marLeft w:val="0"/>
      <w:marRight w:val="0"/>
      <w:marTop w:val="0"/>
      <w:marBottom w:val="0"/>
      <w:divBdr>
        <w:top w:val="none" w:sz="0" w:space="0" w:color="auto"/>
        <w:left w:val="none" w:sz="0" w:space="0" w:color="auto"/>
        <w:bottom w:val="none" w:sz="0" w:space="0" w:color="auto"/>
        <w:right w:val="none" w:sz="0" w:space="0" w:color="auto"/>
      </w:divBdr>
    </w:div>
    <w:div w:id="729186172">
      <w:bodyDiv w:val="1"/>
      <w:marLeft w:val="0"/>
      <w:marRight w:val="0"/>
      <w:marTop w:val="0"/>
      <w:marBottom w:val="0"/>
      <w:divBdr>
        <w:top w:val="none" w:sz="0" w:space="0" w:color="auto"/>
        <w:left w:val="none" w:sz="0" w:space="0" w:color="auto"/>
        <w:bottom w:val="none" w:sz="0" w:space="0" w:color="auto"/>
        <w:right w:val="none" w:sz="0" w:space="0" w:color="auto"/>
      </w:divBdr>
    </w:div>
    <w:div w:id="738600844">
      <w:bodyDiv w:val="1"/>
      <w:marLeft w:val="0"/>
      <w:marRight w:val="0"/>
      <w:marTop w:val="0"/>
      <w:marBottom w:val="0"/>
      <w:divBdr>
        <w:top w:val="none" w:sz="0" w:space="0" w:color="auto"/>
        <w:left w:val="none" w:sz="0" w:space="0" w:color="auto"/>
        <w:bottom w:val="none" w:sz="0" w:space="0" w:color="auto"/>
        <w:right w:val="none" w:sz="0" w:space="0" w:color="auto"/>
      </w:divBdr>
      <w:divsChild>
        <w:div w:id="321592433">
          <w:marLeft w:val="0"/>
          <w:marRight w:val="0"/>
          <w:marTop w:val="0"/>
          <w:marBottom w:val="0"/>
          <w:divBdr>
            <w:top w:val="none" w:sz="0" w:space="0" w:color="auto"/>
            <w:left w:val="none" w:sz="0" w:space="0" w:color="auto"/>
            <w:bottom w:val="none" w:sz="0" w:space="0" w:color="auto"/>
            <w:right w:val="none" w:sz="0" w:space="0" w:color="auto"/>
          </w:divBdr>
          <w:divsChild>
            <w:div w:id="469136709">
              <w:marLeft w:val="0"/>
              <w:marRight w:val="0"/>
              <w:marTop w:val="0"/>
              <w:marBottom w:val="0"/>
              <w:divBdr>
                <w:top w:val="none" w:sz="0" w:space="0" w:color="auto"/>
                <w:left w:val="none" w:sz="0" w:space="0" w:color="auto"/>
                <w:bottom w:val="none" w:sz="0" w:space="0" w:color="auto"/>
                <w:right w:val="none" w:sz="0" w:space="0" w:color="auto"/>
              </w:divBdr>
              <w:divsChild>
                <w:div w:id="4318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43534">
      <w:bodyDiv w:val="1"/>
      <w:marLeft w:val="0"/>
      <w:marRight w:val="0"/>
      <w:marTop w:val="0"/>
      <w:marBottom w:val="0"/>
      <w:divBdr>
        <w:top w:val="none" w:sz="0" w:space="0" w:color="auto"/>
        <w:left w:val="none" w:sz="0" w:space="0" w:color="auto"/>
        <w:bottom w:val="none" w:sz="0" w:space="0" w:color="auto"/>
        <w:right w:val="none" w:sz="0" w:space="0" w:color="auto"/>
      </w:divBdr>
    </w:div>
    <w:div w:id="788014039">
      <w:bodyDiv w:val="1"/>
      <w:marLeft w:val="0"/>
      <w:marRight w:val="0"/>
      <w:marTop w:val="0"/>
      <w:marBottom w:val="0"/>
      <w:divBdr>
        <w:top w:val="none" w:sz="0" w:space="0" w:color="auto"/>
        <w:left w:val="none" w:sz="0" w:space="0" w:color="auto"/>
        <w:bottom w:val="none" w:sz="0" w:space="0" w:color="auto"/>
        <w:right w:val="none" w:sz="0" w:space="0" w:color="auto"/>
      </w:divBdr>
    </w:div>
    <w:div w:id="789785321">
      <w:bodyDiv w:val="1"/>
      <w:marLeft w:val="0"/>
      <w:marRight w:val="0"/>
      <w:marTop w:val="0"/>
      <w:marBottom w:val="0"/>
      <w:divBdr>
        <w:top w:val="none" w:sz="0" w:space="0" w:color="auto"/>
        <w:left w:val="none" w:sz="0" w:space="0" w:color="auto"/>
        <w:bottom w:val="none" w:sz="0" w:space="0" w:color="auto"/>
        <w:right w:val="none" w:sz="0" w:space="0" w:color="auto"/>
      </w:divBdr>
    </w:div>
    <w:div w:id="790440991">
      <w:bodyDiv w:val="1"/>
      <w:marLeft w:val="0"/>
      <w:marRight w:val="0"/>
      <w:marTop w:val="0"/>
      <w:marBottom w:val="0"/>
      <w:divBdr>
        <w:top w:val="none" w:sz="0" w:space="0" w:color="auto"/>
        <w:left w:val="none" w:sz="0" w:space="0" w:color="auto"/>
        <w:bottom w:val="none" w:sz="0" w:space="0" w:color="auto"/>
        <w:right w:val="none" w:sz="0" w:space="0" w:color="auto"/>
      </w:divBdr>
    </w:div>
    <w:div w:id="792478557">
      <w:bodyDiv w:val="1"/>
      <w:marLeft w:val="0"/>
      <w:marRight w:val="0"/>
      <w:marTop w:val="0"/>
      <w:marBottom w:val="0"/>
      <w:divBdr>
        <w:top w:val="none" w:sz="0" w:space="0" w:color="auto"/>
        <w:left w:val="none" w:sz="0" w:space="0" w:color="auto"/>
        <w:bottom w:val="none" w:sz="0" w:space="0" w:color="auto"/>
        <w:right w:val="none" w:sz="0" w:space="0" w:color="auto"/>
      </w:divBdr>
      <w:divsChild>
        <w:div w:id="274602447">
          <w:marLeft w:val="0"/>
          <w:marRight w:val="0"/>
          <w:marTop w:val="0"/>
          <w:marBottom w:val="0"/>
          <w:divBdr>
            <w:top w:val="none" w:sz="0" w:space="0" w:color="auto"/>
            <w:left w:val="none" w:sz="0" w:space="0" w:color="auto"/>
            <w:bottom w:val="none" w:sz="0" w:space="0" w:color="auto"/>
            <w:right w:val="none" w:sz="0" w:space="0" w:color="auto"/>
          </w:divBdr>
          <w:divsChild>
            <w:div w:id="1099832973">
              <w:marLeft w:val="0"/>
              <w:marRight w:val="0"/>
              <w:marTop w:val="0"/>
              <w:marBottom w:val="0"/>
              <w:divBdr>
                <w:top w:val="none" w:sz="0" w:space="0" w:color="auto"/>
                <w:left w:val="none" w:sz="0" w:space="0" w:color="auto"/>
                <w:bottom w:val="none" w:sz="0" w:space="0" w:color="auto"/>
                <w:right w:val="none" w:sz="0" w:space="0" w:color="auto"/>
              </w:divBdr>
              <w:divsChild>
                <w:div w:id="15368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457828">
      <w:bodyDiv w:val="1"/>
      <w:marLeft w:val="0"/>
      <w:marRight w:val="0"/>
      <w:marTop w:val="0"/>
      <w:marBottom w:val="0"/>
      <w:divBdr>
        <w:top w:val="none" w:sz="0" w:space="0" w:color="auto"/>
        <w:left w:val="none" w:sz="0" w:space="0" w:color="auto"/>
        <w:bottom w:val="none" w:sz="0" w:space="0" w:color="auto"/>
        <w:right w:val="none" w:sz="0" w:space="0" w:color="auto"/>
      </w:divBdr>
    </w:div>
    <w:div w:id="823816479">
      <w:bodyDiv w:val="1"/>
      <w:marLeft w:val="0"/>
      <w:marRight w:val="0"/>
      <w:marTop w:val="0"/>
      <w:marBottom w:val="0"/>
      <w:divBdr>
        <w:top w:val="none" w:sz="0" w:space="0" w:color="auto"/>
        <w:left w:val="none" w:sz="0" w:space="0" w:color="auto"/>
        <w:bottom w:val="none" w:sz="0" w:space="0" w:color="auto"/>
        <w:right w:val="none" w:sz="0" w:space="0" w:color="auto"/>
      </w:divBdr>
      <w:divsChild>
        <w:div w:id="81075944">
          <w:marLeft w:val="0"/>
          <w:marRight w:val="0"/>
          <w:marTop w:val="0"/>
          <w:marBottom w:val="0"/>
          <w:divBdr>
            <w:top w:val="none" w:sz="0" w:space="0" w:color="auto"/>
            <w:left w:val="none" w:sz="0" w:space="0" w:color="auto"/>
            <w:bottom w:val="none" w:sz="0" w:space="0" w:color="auto"/>
            <w:right w:val="none" w:sz="0" w:space="0" w:color="auto"/>
          </w:divBdr>
          <w:divsChild>
            <w:div w:id="412967976">
              <w:marLeft w:val="0"/>
              <w:marRight w:val="0"/>
              <w:marTop w:val="0"/>
              <w:marBottom w:val="0"/>
              <w:divBdr>
                <w:top w:val="none" w:sz="0" w:space="0" w:color="auto"/>
                <w:left w:val="none" w:sz="0" w:space="0" w:color="auto"/>
                <w:bottom w:val="none" w:sz="0" w:space="0" w:color="auto"/>
                <w:right w:val="none" w:sz="0" w:space="0" w:color="auto"/>
              </w:divBdr>
              <w:divsChild>
                <w:div w:id="176641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99321">
      <w:bodyDiv w:val="1"/>
      <w:marLeft w:val="0"/>
      <w:marRight w:val="0"/>
      <w:marTop w:val="0"/>
      <w:marBottom w:val="0"/>
      <w:divBdr>
        <w:top w:val="none" w:sz="0" w:space="0" w:color="auto"/>
        <w:left w:val="none" w:sz="0" w:space="0" w:color="auto"/>
        <w:bottom w:val="none" w:sz="0" w:space="0" w:color="auto"/>
        <w:right w:val="none" w:sz="0" w:space="0" w:color="auto"/>
      </w:divBdr>
    </w:div>
    <w:div w:id="874928995">
      <w:bodyDiv w:val="1"/>
      <w:marLeft w:val="0"/>
      <w:marRight w:val="0"/>
      <w:marTop w:val="0"/>
      <w:marBottom w:val="0"/>
      <w:divBdr>
        <w:top w:val="none" w:sz="0" w:space="0" w:color="auto"/>
        <w:left w:val="none" w:sz="0" w:space="0" w:color="auto"/>
        <w:bottom w:val="none" w:sz="0" w:space="0" w:color="auto"/>
        <w:right w:val="none" w:sz="0" w:space="0" w:color="auto"/>
      </w:divBdr>
    </w:div>
    <w:div w:id="924921903">
      <w:bodyDiv w:val="1"/>
      <w:marLeft w:val="0"/>
      <w:marRight w:val="0"/>
      <w:marTop w:val="0"/>
      <w:marBottom w:val="0"/>
      <w:divBdr>
        <w:top w:val="none" w:sz="0" w:space="0" w:color="auto"/>
        <w:left w:val="none" w:sz="0" w:space="0" w:color="auto"/>
        <w:bottom w:val="none" w:sz="0" w:space="0" w:color="auto"/>
        <w:right w:val="none" w:sz="0" w:space="0" w:color="auto"/>
      </w:divBdr>
    </w:div>
    <w:div w:id="931622416">
      <w:bodyDiv w:val="1"/>
      <w:marLeft w:val="0"/>
      <w:marRight w:val="0"/>
      <w:marTop w:val="0"/>
      <w:marBottom w:val="0"/>
      <w:divBdr>
        <w:top w:val="none" w:sz="0" w:space="0" w:color="auto"/>
        <w:left w:val="none" w:sz="0" w:space="0" w:color="auto"/>
        <w:bottom w:val="none" w:sz="0" w:space="0" w:color="auto"/>
        <w:right w:val="none" w:sz="0" w:space="0" w:color="auto"/>
      </w:divBdr>
      <w:divsChild>
        <w:div w:id="1829519776">
          <w:marLeft w:val="0"/>
          <w:marRight w:val="0"/>
          <w:marTop w:val="0"/>
          <w:marBottom w:val="0"/>
          <w:divBdr>
            <w:top w:val="none" w:sz="0" w:space="0" w:color="auto"/>
            <w:left w:val="none" w:sz="0" w:space="0" w:color="auto"/>
            <w:bottom w:val="none" w:sz="0" w:space="0" w:color="auto"/>
            <w:right w:val="none" w:sz="0" w:space="0" w:color="auto"/>
          </w:divBdr>
          <w:divsChild>
            <w:div w:id="878056115">
              <w:marLeft w:val="0"/>
              <w:marRight w:val="0"/>
              <w:marTop w:val="0"/>
              <w:marBottom w:val="0"/>
              <w:divBdr>
                <w:top w:val="none" w:sz="0" w:space="0" w:color="auto"/>
                <w:left w:val="none" w:sz="0" w:space="0" w:color="auto"/>
                <w:bottom w:val="none" w:sz="0" w:space="0" w:color="auto"/>
                <w:right w:val="none" w:sz="0" w:space="0" w:color="auto"/>
              </w:divBdr>
              <w:divsChild>
                <w:div w:id="7477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7697">
      <w:bodyDiv w:val="1"/>
      <w:marLeft w:val="0"/>
      <w:marRight w:val="0"/>
      <w:marTop w:val="0"/>
      <w:marBottom w:val="0"/>
      <w:divBdr>
        <w:top w:val="none" w:sz="0" w:space="0" w:color="auto"/>
        <w:left w:val="none" w:sz="0" w:space="0" w:color="auto"/>
        <w:bottom w:val="none" w:sz="0" w:space="0" w:color="auto"/>
        <w:right w:val="none" w:sz="0" w:space="0" w:color="auto"/>
      </w:divBdr>
    </w:div>
    <w:div w:id="964191975">
      <w:bodyDiv w:val="1"/>
      <w:marLeft w:val="0"/>
      <w:marRight w:val="0"/>
      <w:marTop w:val="0"/>
      <w:marBottom w:val="0"/>
      <w:divBdr>
        <w:top w:val="none" w:sz="0" w:space="0" w:color="auto"/>
        <w:left w:val="none" w:sz="0" w:space="0" w:color="auto"/>
        <w:bottom w:val="none" w:sz="0" w:space="0" w:color="auto"/>
        <w:right w:val="none" w:sz="0" w:space="0" w:color="auto"/>
      </w:divBdr>
    </w:div>
    <w:div w:id="996498649">
      <w:bodyDiv w:val="1"/>
      <w:marLeft w:val="0"/>
      <w:marRight w:val="0"/>
      <w:marTop w:val="0"/>
      <w:marBottom w:val="0"/>
      <w:divBdr>
        <w:top w:val="none" w:sz="0" w:space="0" w:color="auto"/>
        <w:left w:val="none" w:sz="0" w:space="0" w:color="auto"/>
        <w:bottom w:val="none" w:sz="0" w:space="0" w:color="auto"/>
        <w:right w:val="none" w:sz="0" w:space="0" w:color="auto"/>
      </w:divBdr>
    </w:div>
    <w:div w:id="1016999469">
      <w:bodyDiv w:val="1"/>
      <w:marLeft w:val="0"/>
      <w:marRight w:val="0"/>
      <w:marTop w:val="0"/>
      <w:marBottom w:val="0"/>
      <w:divBdr>
        <w:top w:val="none" w:sz="0" w:space="0" w:color="auto"/>
        <w:left w:val="none" w:sz="0" w:space="0" w:color="auto"/>
        <w:bottom w:val="none" w:sz="0" w:space="0" w:color="auto"/>
        <w:right w:val="none" w:sz="0" w:space="0" w:color="auto"/>
      </w:divBdr>
    </w:div>
    <w:div w:id="1028264861">
      <w:bodyDiv w:val="1"/>
      <w:marLeft w:val="0"/>
      <w:marRight w:val="0"/>
      <w:marTop w:val="0"/>
      <w:marBottom w:val="0"/>
      <w:divBdr>
        <w:top w:val="none" w:sz="0" w:space="0" w:color="auto"/>
        <w:left w:val="none" w:sz="0" w:space="0" w:color="auto"/>
        <w:bottom w:val="none" w:sz="0" w:space="0" w:color="auto"/>
        <w:right w:val="none" w:sz="0" w:space="0" w:color="auto"/>
      </w:divBdr>
    </w:div>
    <w:div w:id="1028330770">
      <w:bodyDiv w:val="1"/>
      <w:marLeft w:val="0"/>
      <w:marRight w:val="0"/>
      <w:marTop w:val="0"/>
      <w:marBottom w:val="0"/>
      <w:divBdr>
        <w:top w:val="none" w:sz="0" w:space="0" w:color="auto"/>
        <w:left w:val="none" w:sz="0" w:space="0" w:color="auto"/>
        <w:bottom w:val="none" w:sz="0" w:space="0" w:color="auto"/>
        <w:right w:val="none" w:sz="0" w:space="0" w:color="auto"/>
      </w:divBdr>
    </w:div>
    <w:div w:id="1048651690">
      <w:bodyDiv w:val="1"/>
      <w:marLeft w:val="0"/>
      <w:marRight w:val="0"/>
      <w:marTop w:val="0"/>
      <w:marBottom w:val="0"/>
      <w:divBdr>
        <w:top w:val="none" w:sz="0" w:space="0" w:color="auto"/>
        <w:left w:val="none" w:sz="0" w:space="0" w:color="auto"/>
        <w:bottom w:val="none" w:sz="0" w:space="0" w:color="auto"/>
        <w:right w:val="none" w:sz="0" w:space="0" w:color="auto"/>
      </w:divBdr>
    </w:div>
    <w:div w:id="1051657494">
      <w:bodyDiv w:val="1"/>
      <w:marLeft w:val="0"/>
      <w:marRight w:val="0"/>
      <w:marTop w:val="0"/>
      <w:marBottom w:val="0"/>
      <w:divBdr>
        <w:top w:val="none" w:sz="0" w:space="0" w:color="auto"/>
        <w:left w:val="none" w:sz="0" w:space="0" w:color="auto"/>
        <w:bottom w:val="none" w:sz="0" w:space="0" w:color="auto"/>
        <w:right w:val="none" w:sz="0" w:space="0" w:color="auto"/>
      </w:divBdr>
    </w:div>
    <w:div w:id="1068573859">
      <w:bodyDiv w:val="1"/>
      <w:marLeft w:val="0"/>
      <w:marRight w:val="0"/>
      <w:marTop w:val="0"/>
      <w:marBottom w:val="0"/>
      <w:divBdr>
        <w:top w:val="none" w:sz="0" w:space="0" w:color="auto"/>
        <w:left w:val="none" w:sz="0" w:space="0" w:color="auto"/>
        <w:bottom w:val="none" w:sz="0" w:space="0" w:color="auto"/>
        <w:right w:val="none" w:sz="0" w:space="0" w:color="auto"/>
      </w:divBdr>
    </w:div>
    <w:div w:id="1084765660">
      <w:bodyDiv w:val="1"/>
      <w:marLeft w:val="0"/>
      <w:marRight w:val="0"/>
      <w:marTop w:val="0"/>
      <w:marBottom w:val="0"/>
      <w:divBdr>
        <w:top w:val="none" w:sz="0" w:space="0" w:color="auto"/>
        <w:left w:val="none" w:sz="0" w:space="0" w:color="auto"/>
        <w:bottom w:val="none" w:sz="0" w:space="0" w:color="auto"/>
        <w:right w:val="none" w:sz="0" w:space="0" w:color="auto"/>
      </w:divBdr>
    </w:div>
    <w:div w:id="1110200197">
      <w:bodyDiv w:val="1"/>
      <w:marLeft w:val="0"/>
      <w:marRight w:val="0"/>
      <w:marTop w:val="0"/>
      <w:marBottom w:val="0"/>
      <w:divBdr>
        <w:top w:val="none" w:sz="0" w:space="0" w:color="auto"/>
        <w:left w:val="none" w:sz="0" w:space="0" w:color="auto"/>
        <w:bottom w:val="none" w:sz="0" w:space="0" w:color="auto"/>
        <w:right w:val="none" w:sz="0" w:space="0" w:color="auto"/>
      </w:divBdr>
    </w:div>
    <w:div w:id="1115291946">
      <w:bodyDiv w:val="1"/>
      <w:marLeft w:val="0"/>
      <w:marRight w:val="0"/>
      <w:marTop w:val="0"/>
      <w:marBottom w:val="0"/>
      <w:divBdr>
        <w:top w:val="none" w:sz="0" w:space="0" w:color="auto"/>
        <w:left w:val="none" w:sz="0" w:space="0" w:color="auto"/>
        <w:bottom w:val="none" w:sz="0" w:space="0" w:color="auto"/>
        <w:right w:val="none" w:sz="0" w:space="0" w:color="auto"/>
      </w:divBdr>
      <w:divsChild>
        <w:div w:id="1307274496">
          <w:marLeft w:val="0"/>
          <w:marRight w:val="0"/>
          <w:marTop w:val="0"/>
          <w:marBottom w:val="0"/>
          <w:divBdr>
            <w:top w:val="none" w:sz="0" w:space="0" w:color="auto"/>
            <w:left w:val="none" w:sz="0" w:space="0" w:color="auto"/>
            <w:bottom w:val="none" w:sz="0" w:space="0" w:color="auto"/>
            <w:right w:val="none" w:sz="0" w:space="0" w:color="auto"/>
          </w:divBdr>
          <w:divsChild>
            <w:div w:id="984238587">
              <w:marLeft w:val="0"/>
              <w:marRight w:val="0"/>
              <w:marTop w:val="0"/>
              <w:marBottom w:val="0"/>
              <w:divBdr>
                <w:top w:val="none" w:sz="0" w:space="0" w:color="auto"/>
                <w:left w:val="none" w:sz="0" w:space="0" w:color="auto"/>
                <w:bottom w:val="none" w:sz="0" w:space="0" w:color="auto"/>
                <w:right w:val="none" w:sz="0" w:space="0" w:color="auto"/>
              </w:divBdr>
              <w:divsChild>
                <w:div w:id="14687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57669">
      <w:bodyDiv w:val="1"/>
      <w:marLeft w:val="0"/>
      <w:marRight w:val="0"/>
      <w:marTop w:val="0"/>
      <w:marBottom w:val="0"/>
      <w:divBdr>
        <w:top w:val="none" w:sz="0" w:space="0" w:color="auto"/>
        <w:left w:val="none" w:sz="0" w:space="0" w:color="auto"/>
        <w:bottom w:val="none" w:sz="0" w:space="0" w:color="auto"/>
        <w:right w:val="none" w:sz="0" w:space="0" w:color="auto"/>
      </w:divBdr>
    </w:div>
    <w:div w:id="1135833320">
      <w:bodyDiv w:val="1"/>
      <w:marLeft w:val="0"/>
      <w:marRight w:val="0"/>
      <w:marTop w:val="0"/>
      <w:marBottom w:val="0"/>
      <w:divBdr>
        <w:top w:val="none" w:sz="0" w:space="0" w:color="auto"/>
        <w:left w:val="none" w:sz="0" w:space="0" w:color="auto"/>
        <w:bottom w:val="none" w:sz="0" w:space="0" w:color="auto"/>
        <w:right w:val="none" w:sz="0" w:space="0" w:color="auto"/>
      </w:divBdr>
    </w:div>
    <w:div w:id="1142889128">
      <w:bodyDiv w:val="1"/>
      <w:marLeft w:val="0"/>
      <w:marRight w:val="0"/>
      <w:marTop w:val="0"/>
      <w:marBottom w:val="0"/>
      <w:divBdr>
        <w:top w:val="none" w:sz="0" w:space="0" w:color="auto"/>
        <w:left w:val="none" w:sz="0" w:space="0" w:color="auto"/>
        <w:bottom w:val="none" w:sz="0" w:space="0" w:color="auto"/>
        <w:right w:val="none" w:sz="0" w:space="0" w:color="auto"/>
      </w:divBdr>
    </w:div>
    <w:div w:id="1154493132">
      <w:bodyDiv w:val="1"/>
      <w:marLeft w:val="0"/>
      <w:marRight w:val="0"/>
      <w:marTop w:val="0"/>
      <w:marBottom w:val="0"/>
      <w:divBdr>
        <w:top w:val="none" w:sz="0" w:space="0" w:color="auto"/>
        <w:left w:val="none" w:sz="0" w:space="0" w:color="auto"/>
        <w:bottom w:val="none" w:sz="0" w:space="0" w:color="auto"/>
        <w:right w:val="none" w:sz="0" w:space="0" w:color="auto"/>
      </w:divBdr>
      <w:divsChild>
        <w:div w:id="1626278648">
          <w:marLeft w:val="0"/>
          <w:marRight w:val="0"/>
          <w:marTop w:val="0"/>
          <w:marBottom w:val="0"/>
          <w:divBdr>
            <w:top w:val="none" w:sz="0" w:space="0" w:color="auto"/>
            <w:left w:val="none" w:sz="0" w:space="0" w:color="auto"/>
            <w:bottom w:val="none" w:sz="0" w:space="0" w:color="auto"/>
            <w:right w:val="none" w:sz="0" w:space="0" w:color="auto"/>
          </w:divBdr>
          <w:divsChild>
            <w:div w:id="1922445932">
              <w:marLeft w:val="0"/>
              <w:marRight w:val="0"/>
              <w:marTop w:val="0"/>
              <w:marBottom w:val="0"/>
              <w:divBdr>
                <w:top w:val="none" w:sz="0" w:space="0" w:color="auto"/>
                <w:left w:val="none" w:sz="0" w:space="0" w:color="auto"/>
                <w:bottom w:val="none" w:sz="0" w:space="0" w:color="auto"/>
                <w:right w:val="none" w:sz="0" w:space="0" w:color="auto"/>
              </w:divBdr>
              <w:divsChild>
                <w:div w:id="61540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82386">
      <w:bodyDiv w:val="1"/>
      <w:marLeft w:val="0"/>
      <w:marRight w:val="0"/>
      <w:marTop w:val="0"/>
      <w:marBottom w:val="0"/>
      <w:divBdr>
        <w:top w:val="none" w:sz="0" w:space="0" w:color="auto"/>
        <w:left w:val="none" w:sz="0" w:space="0" w:color="auto"/>
        <w:bottom w:val="none" w:sz="0" w:space="0" w:color="auto"/>
        <w:right w:val="none" w:sz="0" w:space="0" w:color="auto"/>
      </w:divBdr>
      <w:divsChild>
        <w:div w:id="19012148">
          <w:marLeft w:val="0"/>
          <w:marRight w:val="0"/>
          <w:marTop w:val="0"/>
          <w:marBottom w:val="0"/>
          <w:divBdr>
            <w:top w:val="none" w:sz="0" w:space="0" w:color="auto"/>
            <w:left w:val="none" w:sz="0" w:space="0" w:color="auto"/>
            <w:bottom w:val="none" w:sz="0" w:space="0" w:color="auto"/>
            <w:right w:val="none" w:sz="0" w:space="0" w:color="auto"/>
          </w:divBdr>
          <w:divsChild>
            <w:div w:id="856310969">
              <w:marLeft w:val="0"/>
              <w:marRight w:val="0"/>
              <w:marTop w:val="0"/>
              <w:marBottom w:val="0"/>
              <w:divBdr>
                <w:top w:val="none" w:sz="0" w:space="0" w:color="auto"/>
                <w:left w:val="none" w:sz="0" w:space="0" w:color="auto"/>
                <w:bottom w:val="none" w:sz="0" w:space="0" w:color="auto"/>
                <w:right w:val="none" w:sz="0" w:space="0" w:color="auto"/>
              </w:divBdr>
              <w:divsChild>
                <w:div w:id="14523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529664">
      <w:bodyDiv w:val="1"/>
      <w:marLeft w:val="0"/>
      <w:marRight w:val="0"/>
      <w:marTop w:val="0"/>
      <w:marBottom w:val="0"/>
      <w:divBdr>
        <w:top w:val="none" w:sz="0" w:space="0" w:color="auto"/>
        <w:left w:val="none" w:sz="0" w:space="0" w:color="auto"/>
        <w:bottom w:val="none" w:sz="0" w:space="0" w:color="auto"/>
        <w:right w:val="none" w:sz="0" w:space="0" w:color="auto"/>
      </w:divBdr>
      <w:divsChild>
        <w:div w:id="1524784129">
          <w:marLeft w:val="0"/>
          <w:marRight w:val="0"/>
          <w:marTop w:val="0"/>
          <w:marBottom w:val="0"/>
          <w:divBdr>
            <w:top w:val="none" w:sz="0" w:space="0" w:color="auto"/>
            <w:left w:val="none" w:sz="0" w:space="0" w:color="auto"/>
            <w:bottom w:val="none" w:sz="0" w:space="0" w:color="auto"/>
            <w:right w:val="none" w:sz="0" w:space="0" w:color="auto"/>
          </w:divBdr>
          <w:divsChild>
            <w:div w:id="1090850482">
              <w:marLeft w:val="0"/>
              <w:marRight w:val="0"/>
              <w:marTop w:val="0"/>
              <w:marBottom w:val="0"/>
              <w:divBdr>
                <w:top w:val="none" w:sz="0" w:space="0" w:color="auto"/>
                <w:left w:val="none" w:sz="0" w:space="0" w:color="auto"/>
                <w:bottom w:val="none" w:sz="0" w:space="0" w:color="auto"/>
                <w:right w:val="none" w:sz="0" w:space="0" w:color="auto"/>
              </w:divBdr>
              <w:divsChild>
                <w:div w:id="14662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617010">
      <w:bodyDiv w:val="1"/>
      <w:marLeft w:val="0"/>
      <w:marRight w:val="0"/>
      <w:marTop w:val="0"/>
      <w:marBottom w:val="0"/>
      <w:divBdr>
        <w:top w:val="none" w:sz="0" w:space="0" w:color="auto"/>
        <w:left w:val="none" w:sz="0" w:space="0" w:color="auto"/>
        <w:bottom w:val="none" w:sz="0" w:space="0" w:color="auto"/>
        <w:right w:val="none" w:sz="0" w:space="0" w:color="auto"/>
      </w:divBdr>
    </w:div>
    <w:div w:id="1226990878">
      <w:bodyDiv w:val="1"/>
      <w:marLeft w:val="0"/>
      <w:marRight w:val="0"/>
      <w:marTop w:val="0"/>
      <w:marBottom w:val="0"/>
      <w:divBdr>
        <w:top w:val="none" w:sz="0" w:space="0" w:color="auto"/>
        <w:left w:val="none" w:sz="0" w:space="0" w:color="auto"/>
        <w:bottom w:val="none" w:sz="0" w:space="0" w:color="auto"/>
        <w:right w:val="none" w:sz="0" w:space="0" w:color="auto"/>
      </w:divBdr>
      <w:divsChild>
        <w:div w:id="1063065033">
          <w:marLeft w:val="0"/>
          <w:marRight w:val="0"/>
          <w:marTop w:val="0"/>
          <w:marBottom w:val="0"/>
          <w:divBdr>
            <w:top w:val="none" w:sz="0" w:space="0" w:color="auto"/>
            <w:left w:val="none" w:sz="0" w:space="0" w:color="auto"/>
            <w:bottom w:val="none" w:sz="0" w:space="0" w:color="auto"/>
            <w:right w:val="none" w:sz="0" w:space="0" w:color="auto"/>
          </w:divBdr>
          <w:divsChild>
            <w:div w:id="1237545473">
              <w:marLeft w:val="0"/>
              <w:marRight w:val="0"/>
              <w:marTop w:val="0"/>
              <w:marBottom w:val="0"/>
              <w:divBdr>
                <w:top w:val="none" w:sz="0" w:space="0" w:color="auto"/>
                <w:left w:val="none" w:sz="0" w:space="0" w:color="auto"/>
                <w:bottom w:val="none" w:sz="0" w:space="0" w:color="auto"/>
                <w:right w:val="none" w:sz="0" w:space="0" w:color="auto"/>
              </w:divBdr>
              <w:divsChild>
                <w:div w:id="2725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5299">
      <w:bodyDiv w:val="1"/>
      <w:marLeft w:val="0"/>
      <w:marRight w:val="0"/>
      <w:marTop w:val="0"/>
      <w:marBottom w:val="0"/>
      <w:divBdr>
        <w:top w:val="none" w:sz="0" w:space="0" w:color="auto"/>
        <w:left w:val="none" w:sz="0" w:space="0" w:color="auto"/>
        <w:bottom w:val="none" w:sz="0" w:space="0" w:color="auto"/>
        <w:right w:val="none" w:sz="0" w:space="0" w:color="auto"/>
      </w:divBdr>
      <w:divsChild>
        <w:div w:id="1019888233">
          <w:marLeft w:val="0"/>
          <w:marRight w:val="0"/>
          <w:marTop w:val="0"/>
          <w:marBottom w:val="0"/>
          <w:divBdr>
            <w:top w:val="none" w:sz="0" w:space="0" w:color="auto"/>
            <w:left w:val="none" w:sz="0" w:space="0" w:color="auto"/>
            <w:bottom w:val="none" w:sz="0" w:space="0" w:color="auto"/>
            <w:right w:val="none" w:sz="0" w:space="0" w:color="auto"/>
          </w:divBdr>
          <w:divsChild>
            <w:div w:id="814415950">
              <w:marLeft w:val="0"/>
              <w:marRight w:val="0"/>
              <w:marTop w:val="0"/>
              <w:marBottom w:val="0"/>
              <w:divBdr>
                <w:top w:val="none" w:sz="0" w:space="0" w:color="auto"/>
                <w:left w:val="none" w:sz="0" w:space="0" w:color="auto"/>
                <w:bottom w:val="none" w:sz="0" w:space="0" w:color="auto"/>
                <w:right w:val="none" w:sz="0" w:space="0" w:color="auto"/>
              </w:divBdr>
              <w:divsChild>
                <w:div w:id="15608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11198">
      <w:bodyDiv w:val="1"/>
      <w:marLeft w:val="0"/>
      <w:marRight w:val="0"/>
      <w:marTop w:val="0"/>
      <w:marBottom w:val="0"/>
      <w:divBdr>
        <w:top w:val="none" w:sz="0" w:space="0" w:color="auto"/>
        <w:left w:val="none" w:sz="0" w:space="0" w:color="auto"/>
        <w:bottom w:val="none" w:sz="0" w:space="0" w:color="auto"/>
        <w:right w:val="none" w:sz="0" w:space="0" w:color="auto"/>
      </w:divBdr>
    </w:div>
    <w:div w:id="1245722799">
      <w:bodyDiv w:val="1"/>
      <w:marLeft w:val="0"/>
      <w:marRight w:val="0"/>
      <w:marTop w:val="0"/>
      <w:marBottom w:val="0"/>
      <w:divBdr>
        <w:top w:val="none" w:sz="0" w:space="0" w:color="auto"/>
        <w:left w:val="none" w:sz="0" w:space="0" w:color="auto"/>
        <w:bottom w:val="none" w:sz="0" w:space="0" w:color="auto"/>
        <w:right w:val="none" w:sz="0" w:space="0" w:color="auto"/>
      </w:divBdr>
      <w:divsChild>
        <w:div w:id="1464422204">
          <w:marLeft w:val="0"/>
          <w:marRight w:val="0"/>
          <w:marTop w:val="0"/>
          <w:marBottom w:val="0"/>
          <w:divBdr>
            <w:top w:val="none" w:sz="0" w:space="0" w:color="auto"/>
            <w:left w:val="none" w:sz="0" w:space="0" w:color="auto"/>
            <w:bottom w:val="none" w:sz="0" w:space="0" w:color="auto"/>
            <w:right w:val="none" w:sz="0" w:space="0" w:color="auto"/>
          </w:divBdr>
          <w:divsChild>
            <w:div w:id="2010206876">
              <w:marLeft w:val="0"/>
              <w:marRight w:val="0"/>
              <w:marTop w:val="0"/>
              <w:marBottom w:val="0"/>
              <w:divBdr>
                <w:top w:val="none" w:sz="0" w:space="0" w:color="auto"/>
                <w:left w:val="none" w:sz="0" w:space="0" w:color="auto"/>
                <w:bottom w:val="none" w:sz="0" w:space="0" w:color="auto"/>
                <w:right w:val="none" w:sz="0" w:space="0" w:color="auto"/>
              </w:divBdr>
              <w:divsChild>
                <w:div w:id="2104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3162">
      <w:bodyDiv w:val="1"/>
      <w:marLeft w:val="0"/>
      <w:marRight w:val="0"/>
      <w:marTop w:val="0"/>
      <w:marBottom w:val="0"/>
      <w:divBdr>
        <w:top w:val="none" w:sz="0" w:space="0" w:color="auto"/>
        <w:left w:val="none" w:sz="0" w:space="0" w:color="auto"/>
        <w:bottom w:val="none" w:sz="0" w:space="0" w:color="auto"/>
        <w:right w:val="none" w:sz="0" w:space="0" w:color="auto"/>
      </w:divBdr>
      <w:divsChild>
        <w:div w:id="2082215149">
          <w:marLeft w:val="0"/>
          <w:marRight w:val="0"/>
          <w:marTop w:val="0"/>
          <w:marBottom w:val="0"/>
          <w:divBdr>
            <w:top w:val="none" w:sz="0" w:space="0" w:color="auto"/>
            <w:left w:val="none" w:sz="0" w:space="0" w:color="auto"/>
            <w:bottom w:val="none" w:sz="0" w:space="0" w:color="auto"/>
            <w:right w:val="none" w:sz="0" w:space="0" w:color="auto"/>
          </w:divBdr>
          <w:divsChild>
            <w:div w:id="2072538073">
              <w:marLeft w:val="0"/>
              <w:marRight w:val="0"/>
              <w:marTop w:val="0"/>
              <w:marBottom w:val="0"/>
              <w:divBdr>
                <w:top w:val="none" w:sz="0" w:space="0" w:color="auto"/>
                <w:left w:val="none" w:sz="0" w:space="0" w:color="auto"/>
                <w:bottom w:val="none" w:sz="0" w:space="0" w:color="auto"/>
                <w:right w:val="none" w:sz="0" w:space="0" w:color="auto"/>
              </w:divBdr>
              <w:divsChild>
                <w:div w:id="102317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3766">
      <w:bodyDiv w:val="1"/>
      <w:marLeft w:val="0"/>
      <w:marRight w:val="0"/>
      <w:marTop w:val="0"/>
      <w:marBottom w:val="0"/>
      <w:divBdr>
        <w:top w:val="none" w:sz="0" w:space="0" w:color="auto"/>
        <w:left w:val="none" w:sz="0" w:space="0" w:color="auto"/>
        <w:bottom w:val="none" w:sz="0" w:space="0" w:color="auto"/>
        <w:right w:val="none" w:sz="0" w:space="0" w:color="auto"/>
      </w:divBdr>
      <w:divsChild>
        <w:div w:id="199360981">
          <w:marLeft w:val="0"/>
          <w:marRight w:val="0"/>
          <w:marTop w:val="0"/>
          <w:marBottom w:val="0"/>
          <w:divBdr>
            <w:top w:val="none" w:sz="0" w:space="0" w:color="auto"/>
            <w:left w:val="none" w:sz="0" w:space="0" w:color="auto"/>
            <w:bottom w:val="none" w:sz="0" w:space="0" w:color="auto"/>
            <w:right w:val="none" w:sz="0" w:space="0" w:color="auto"/>
          </w:divBdr>
          <w:divsChild>
            <w:div w:id="1287547098">
              <w:marLeft w:val="0"/>
              <w:marRight w:val="0"/>
              <w:marTop w:val="0"/>
              <w:marBottom w:val="0"/>
              <w:divBdr>
                <w:top w:val="none" w:sz="0" w:space="0" w:color="auto"/>
                <w:left w:val="none" w:sz="0" w:space="0" w:color="auto"/>
                <w:bottom w:val="none" w:sz="0" w:space="0" w:color="auto"/>
                <w:right w:val="none" w:sz="0" w:space="0" w:color="auto"/>
              </w:divBdr>
              <w:divsChild>
                <w:div w:id="42862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4975">
      <w:bodyDiv w:val="1"/>
      <w:marLeft w:val="0"/>
      <w:marRight w:val="0"/>
      <w:marTop w:val="0"/>
      <w:marBottom w:val="0"/>
      <w:divBdr>
        <w:top w:val="none" w:sz="0" w:space="0" w:color="auto"/>
        <w:left w:val="none" w:sz="0" w:space="0" w:color="auto"/>
        <w:bottom w:val="none" w:sz="0" w:space="0" w:color="auto"/>
        <w:right w:val="none" w:sz="0" w:space="0" w:color="auto"/>
      </w:divBdr>
    </w:div>
    <w:div w:id="1303120271">
      <w:bodyDiv w:val="1"/>
      <w:marLeft w:val="0"/>
      <w:marRight w:val="0"/>
      <w:marTop w:val="0"/>
      <w:marBottom w:val="0"/>
      <w:divBdr>
        <w:top w:val="none" w:sz="0" w:space="0" w:color="auto"/>
        <w:left w:val="none" w:sz="0" w:space="0" w:color="auto"/>
        <w:bottom w:val="none" w:sz="0" w:space="0" w:color="auto"/>
        <w:right w:val="none" w:sz="0" w:space="0" w:color="auto"/>
      </w:divBdr>
    </w:div>
    <w:div w:id="1306083931">
      <w:bodyDiv w:val="1"/>
      <w:marLeft w:val="0"/>
      <w:marRight w:val="0"/>
      <w:marTop w:val="0"/>
      <w:marBottom w:val="0"/>
      <w:divBdr>
        <w:top w:val="none" w:sz="0" w:space="0" w:color="auto"/>
        <w:left w:val="none" w:sz="0" w:space="0" w:color="auto"/>
        <w:bottom w:val="none" w:sz="0" w:space="0" w:color="auto"/>
        <w:right w:val="none" w:sz="0" w:space="0" w:color="auto"/>
      </w:divBdr>
      <w:divsChild>
        <w:div w:id="646596715">
          <w:marLeft w:val="0"/>
          <w:marRight w:val="0"/>
          <w:marTop w:val="0"/>
          <w:marBottom w:val="0"/>
          <w:divBdr>
            <w:top w:val="none" w:sz="0" w:space="0" w:color="auto"/>
            <w:left w:val="none" w:sz="0" w:space="0" w:color="auto"/>
            <w:bottom w:val="none" w:sz="0" w:space="0" w:color="auto"/>
            <w:right w:val="none" w:sz="0" w:space="0" w:color="auto"/>
          </w:divBdr>
          <w:divsChild>
            <w:div w:id="924730854">
              <w:marLeft w:val="0"/>
              <w:marRight w:val="0"/>
              <w:marTop w:val="0"/>
              <w:marBottom w:val="0"/>
              <w:divBdr>
                <w:top w:val="none" w:sz="0" w:space="0" w:color="auto"/>
                <w:left w:val="none" w:sz="0" w:space="0" w:color="auto"/>
                <w:bottom w:val="none" w:sz="0" w:space="0" w:color="auto"/>
                <w:right w:val="none" w:sz="0" w:space="0" w:color="auto"/>
              </w:divBdr>
              <w:divsChild>
                <w:div w:id="13657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88019">
      <w:bodyDiv w:val="1"/>
      <w:marLeft w:val="0"/>
      <w:marRight w:val="0"/>
      <w:marTop w:val="0"/>
      <w:marBottom w:val="0"/>
      <w:divBdr>
        <w:top w:val="none" w:sz="0" w:space="0" w:color="auto"/>
        <w:left w:val="none" w:sz="0" w:space="0" w:color="auto"/>
        <w:bottom w:val="none" w:sz="0" w:space="0" w:color="auto"/>
        <w:right w:val="none" w:sz="0" w:space="0" w:color="auto"/>
      </w:divBdr>
    </w:div>
    <w:div w:id="1345860296">
      <w:bodyDiv w:val="1"/>
      <w:marLeft w:val="0"/>
      <w:marRight w:val="0"/>
      <w:marTop w:val="0"/>
      <w:marBottom w:val="0"/>
      <w:divBdr>
        <w:top w:val="none" w:sz="0" w:space="0" w:color="auto"/>
        <w:left w:val="none" w:sz="0" w:space="0" w:color="auto"/>
        <w:bottom w:val="none" w:sz="0" w:space="0" w:color="auto"/>
        <w:right w:val="none" w:sz="0" w:space="0" w:color="auto"/>
      </w:divBdr>
    </w:div>
    <w:div w:id="1397778344">
      <w:bodyDiv w:val="1"/>
      <w:marLeft w:val="0"/>
      <w:marRight w:val="0"/>
      <w:marTop w:val="0"/>
      <w:marBottom w:val="0"/>
      <w:divBdr>
        <w:top w:val="none" w:sz="0" w:space="0" w:color="auto"/>
        <w:left w:val="none" w:sz="0" w:space="0" w:color="auto"/>
        <w:bottom w:val="none" w:sz="0" w:space="0" w:color="auto"/>
        <w:right w:val="none" w:sz="0" w:space="0" w:color="auto"/>
      </w:divBdr>
    </w:div>
    <w:div w:id="1404645460">
      <w:bodyDiv w:val="1"/>
      <w:marLeft w:val="0"/>
      <w:marRight w:val="0"/>
      <w:marTop w:val="0"/>
      <w:marBottom w:val="0"/>
      <w:divBdr>
        <w:top w:val="none" w:sz="0" w:space="0" w:color="auto"/>
        <w:left w:val="none" w:sz="0" w:space="0" w:color="auto"/>
        <w:bottom w:val="none" w:sz="0" w:space="0" w:color="auto"/>
        <w:right w:val="none" w:sz="0" w:space="0" w:color="auto"/>
      </w:divBdr>
    </w:div>
    <w:div w:id="1405370759">
      <w:bodyDiv w:val="1"/>
      <w:marLeft w:val="0"/>
      <w:marRight w:val="0"/>
      <w:marTop w:val="0"/>
      <w:marBottom w:val="0"/>
      <w:divBdr>
        <w:top w:val="none" w:sz="0" w:space="0" w:color="auto"/>
        <w:left w:val="none" w:sz="0" w:space="0" w:color="auto"/>
        <w:bottom w:val="none" w:sz="0" w:space="0" w:color="auto"/>
        <w:right w:val="none" w:sz="0" w:space="0" w:color="auto"/>
      </w:divBdr>
    </w:div>
    <w:div w:id="1437402551">
      <w:bodyDiv w:val="1"/>
      <w:marLeft w:val="0"/>
      <w:marRight w:val="0"/>
      <w:marTop w:val="0"/>
      <w:marBottom w:val="0"/>
      <w:divBdr>
        <w:top w:val="none" w:sz="0" w:space="0" w:color="auto"/>
        <w:left w:val="none" w:sz="0" w:space="0" w:color="auto"/>
        <w:bottom w:val="none" w:sz="0" w:space="0" w:color="auto"/>
        <w:right w:val="none" w:sz="0" w:space="0" w:color="auto"/>
      </w:divBdr>
    </w:div>
    <w:div w:id="1445154513">
      <w:bodyDiv w:val="1"/>
      <w:marLeft w:val="0"/>
      <w:marRight w:val="0"/>
      <w:marTop w:val="0"/>
      <w:marBottom w:val="0"/>
      <w:divBdr>
        <w:top w:val="none" w:sz="0" w:space="0" w:color="auto"/>
        <w:left w:val="none" w:sz="0" w:space="0" w:color="auto"/>
        <w:bottom w:val="none" w:sz="0" w:space="0" w:color="auto"/>
        <w:right w:val="none" w:sz="0" w:space="0" w:color="auto"/>
      </w:divBdr>
    </w:div>
    <w:div w:id="1467775098">
      <w:bodyDiv w:val="1"/>
      <w:marLeft w:val="0"/>
      <w:marRight w:val="0"/>
      <w:marTop w:val="0"/>
      <w:marBottom w:val="0"/>
      <w:divBdr>
        <w:top w:val="none" w:sz="0" w:space="0" w:color="auto"/>
        <w:left w:val="none" w:sz="0" w:space="0" w:color="auto"/>
        <w:bottom w:val="none" w:sz="0" w:space="0" w:color="auto"/>
        <w:right w:val="none" w:sz="0" w:space="0" w:color="auto"/>
      </w:divBdr>
    </w:div>
    <w:div w:id="1468820586">
      <w:bodyDiv w:val="1"/>
      <w:marLeft w:val="0"/>
      <w:marRight w:val="0"/>
      <w:marTop w:val="0"/>
      <w:marBottom w:val="0"/>
      <w:divBdr>
        <w:top w:val="none" w:sz="0" w:space="0" w:color="auto"/>
        <w:left w:val="none" w:sz="0" w:space="0" w:color="auto"/>
        <w:bottom w:val="none" w:sz="0" w:space="0" w:color="auto"/>
        <w:right w:val="none" w:sz="0" w:space="0" w:color="auto"/>
      </w:divBdr>
      <w:divsChild>
        <w:div w:id="478159279">
          <w:marLeft w:val="0"/>
          <w:marRight w:val="0"/>
          <w:marTop w:val="0"/>
          <w:marBottom w:val="0"/>
          <w:divBdr>
            <w:top w:val="none" w:sz="0" w:space="0" w:color="auto"/>
            <w:left w:val="none" w:sz="0" w:space="0" w:color="auto"/>
            <w:bottom w:val="none" w:sz="0" w:space="0" w:color="auto"/>
            <w:right w:val="none" w:sz="0" w:space="0" w:color="auto"/>
          </w:divBdr>
          <w:divsChild>
            <w:div w:id="155538552">
              <w:marLeft w:val="0"/>
              <w:marRight w:val="0"/>
              <w:marTop w:val="0"/>
              <w:marBottom w:val="0"/>
              <w:divBdr>
                <w:top w:val="none" w:sz="0" w:space="0" w:color="auto"/>
                <w:left w:val="none" w:sz="0" w:space="0" w:color="auto"/>
                <w:bottom w:val="none" w:sz="0" w:space="0" w:color="auto"/>
                <w:right w:val="none" w:sz="0" w:space="0" w:color="auto"/>
              </w:divBdr>
              <w:divsChild>
                <w:div w:id="57501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158295">
      <w:bodyDiv w:val="1"/>
      <w:marLeft w:val="0"/>
      <w:marRight w:val="0"/>
      <w:marTop w:val="0"/>
      <w:marBottom w:val="0"/>
      <w:divBdr>
        <w:top w:val="none" w:sz="0" w:space="0" w:color="auto"/>
        <w:left w:val="none" w:sz="0" w:space="0" w:color="auto"/>
        <w:bottom w:val="none" w:sz="0" w:space="0" w:color="auto"/>
        <w:right w:val="none" w:sz="0" w:space="0" w:color="auto"/>
      </w:divBdr>
    </w:div>
    <w:div w:id="1491482017">
      <w:bodyDiv w:val="1"/>
      <w:marLeft w:val="0"/>
      <w:marRight w:val="0"/>
      <w:marTop w:val="0"/>
      <w:marBottom w:val="0"/>
      <w:divBdr>
        <w:top w:val="none" w:sz="0" w:space="0" w:color="auto"/>
        <w:left w:val="none" w:sz="0" w:space="0" w:color="auto"/>
        <w:bottom w:val="none" w:sz="0" w:space="0" w:color="auto"/>
        <w:right w:val="none" w:sz="0" w:space="0" w:color="auto"/>
      </w:divBdr>
    </w:div>
    <w:div w:id="1503543187">
      <w:bodyDiv w:val="1"/>
      <w:marLeft w:val="0"/>
      <w:marRight w:val="0"/>
      <w:marTop w:val="0"/>
      <w:marBottom w:val="0"/>
      <w:divBdr>
        <w:top w:val="none" w:sz="0" w:space="0" w:color="auto"/>
        <w:left w:val="none" w:sz="0" w:space="0" w:color="auto"/>
        <w:bottom w:val="none" w:sz="0" w:space="0" w:color="auto"/>
        <w:right w:val="none" w:sz="0" w:space="0" w:color="auto"/>
      </w:divBdr>
    </w:div>
    <w:div w:id="1526560092">
      <w:bodyDiv w:val="1"/>
      <w:marLeft w:val="0"/>
      <w:marRight w:val="0"/>
      <w:marTop w:val="0"/>
      <w:marBottom w:val="0"/>
      <w:divBdr>
        <w:top w:val="none" w:sz="0" w:space="0" w:color="auto"/>
        <w:left w:val="none" w:sz="0" w:space="0" w:color="auto"/>
        <w:bottom w:val="none" w:sz="0" w:space="0" w:color="auto"/>
        <w:right w:val="none" w:sz="0" w:space="0" w:color="auto"/>
      </w:divBdr>
    </w:div>
    <w:div w:id="1546212437">
      <w:bodyDiv w:val="1"/>
      <w:marLeft w:val="0"/>
      <w:marRight w:val="0"/>
      <w:marTop w:val="0"/>
      <w:marBottom w:val="0"/>
      <w:divBdr>
        <w:top w:val="none" w:sz="0" w:space="0" w:color="auto"/>
        <w:left w:val="none" w:sz="0" w:space="0" w:color="auto"/>
        <w:bottom w:val="none" w:sz="0" w:space="0" w:color="auto"/>
        <w:right w:val="none" w:sz="0" w:space="0" w:color="auto"/>
      </w:divBdr>
    </w:div>
    <w:div w:id="1549489574">
      <w:bodyDiv w:val="1"/>
      <w:marLeft w:val="0"/>
      <w:marRight w:val="0"/>
      <w:marTop w:val="0"/>
      <w:marBottom w:val="0"/>
      <w:divBdr>
        <w:top w:val="none" w:sz="0" w:space="0" w:color="auto"/>
        <w:left w:val="none" w:sz="0" w:space="0" w:color="auto"/>
        <w:bottom w:val="none" w:sz="0" w:space="0" w:color="auto"/>
        <w:right w:val="none" w:sz="0" w:space="0" w:color="auto"/>
      </w:divBdr>
    </w:div>
    <w:div w:id="1564756141">
      <w:bodyDiv w:val="1"/>
      <w:marLeft w:val="0"/>
      <w:marRight w:val="0"/>
      <w:marTop w:val="0"/>
      <w:marBottom w:val="0"/>
      <w:divBdr>
        <w:top w:val="none" w:sz="0" w:space="0" w:color="auto"/>
        <w:left w:val="none" w:sz="0" w:space="0" w:color="auto"/>
        <w:bottom w:val="none" w:sz="0" w:space="0" w:color="auto"/>
        <w:right w:val="none" w:sz="0" w:space="0" w:color="auto"/>
      </w:divBdr>
    </w:div>
    <w:div w:id="1578325395">
      <w:bodyDiv w:val="1"/>
      <w:marLeft w:val="0"/>
      <w:marRight w:val="0"/>
      <w:marTop w:val="0"/>
      <w:marBottom w:val="0"/>
      <w:divBdr>
        <w:top w:val="none" w:sz="0" w:space="0" w:color="auto"/>
        <w:left w:val="none" w:sz="0" w:space="0" w:color="auto"/>
        <w:bottom w:val="none" w:sz="0" w:space="0" w:color="auto"/>
        <w:right w:val="none" w:sz="0" w:space="0" w:color="auto"/>
      </w:divBdr>
    </w:div>
    <w:div w:id="1579438635">
      <w:bodyDiv w:val="1"/>
      <w:marLeft w:val="0"/>
      <w:marRight w:val="0"/>
      <w:marTop w:val="0"/>
      <w:marBottom w:val="0"/>
      <w:divBdr>
        <w:top w:val="none" w:sz="0" w:space="0" w:color="auto"/>
        <w:left w:val="none" w:sz="0" w:space="0" w:color="auto"/>
        <w:bottom w:val="none" w:sz="0" w:space="0" w:color="auto"/>
        <w:right w:val="none" w:sz="0" w:space="0" w:color="auto"/>
      </w:divBdr>
    </w:div>
    <w:div w:id="1584800648">
      <w:bodyDiv w:val="1"/>
      <w:marLeft w:val="0"/>
      <w:marRight w:val="0"/>
      <w:marTop w:val="0"/>
      <w:marBottom w:val="0"/>
      <w:divBdr>
        <w:top w:val="none" w:sz="0" w:space="0" w:color="auto"/>
        <w:left w:val="none" w:sz="0" w:space="0" w:color="auto"/>
        <w:bottom w:val="none" w:sz="0" w:space="0" w:color="auto"/>
        <w:right w:val="none" w:sz="0" w:space="0" w:color="auto"/>
      </w:divBdr>
    </w:div>
    <w:div w:id="1623072446">
      <w:bodyDiv w:val="1"/>
      <w:marLeft w:val="0"/>
      <w:marRight w:val="0"/>
      <w:marTop w:val="0"/>
      <w:marBottom w:val="0"/>
      <w:divBdr>
        <w:top w:val="none" w:sz="0" w:space="0" w:color="auto"/>
        <w:left w:val="none" w:sz="0" w:space="0" w:color="auto"/>
        <w:bottom w:val="none" w:sz="0" w:space="0" w:color="auto"/>
        <w:right w:val="none" w:sz="0" w:space="0" w:color="auto"/>
      </w:divBdr>
      <w:divsChild>
        <w:div w:id="2070572713">
          <w:marLeft w:val="0"/>
          <w:marRight w:val="0"/>
          <w:marTop w:val="0"/>
          <w:marBottom w:val="0"/>
          <w:divBdr>
            <w:top w:val="none" w:sz="0" w:space="0" w:color="auto"/>
            <w:left w:val="none" w:sz="0" w:space="0" w:color="auto"/>
            <w:bottom w:val="none" w:sz="0" w:space="0" w:color="auto"/>
            <w:right w:val="none" w:sz="0" w:space="0" w:color="auto"/>
          </w:divBdr>
          <w:divsChild>
            <w:div w:id="2115783151">
              <w:marLeft w:val="0"/>
              <w:marRight w:val="0"/>
              <w:marTop w:val="0"/>
              <w:marBottom w:val="0"/>
              <w:divBdr>
                <w:top w:val="none" w:sz="0" w:space="0" w:color="auto"/>
                <w:left w:val="none" w:sz="0" w:space="0" w:color="auto"/>
                <w:bottom w:val="none" w:sz="0" w:space="0" w:color="auto"/>
                <w:right w:val="none" w:sz="0" w:space="0" w:color="auto"/>
              </w:divBdr>
              <w:divsChild>
                <w:div w:id="14771587">
                  <w:marLeft w:val="0"/>
                  <w:marRight w:val="0"/>
                  <w:marTop w:val="0"/>
                  <w:marBottom w:val="0"/>
                  <w:divBdr>
                    <w:top w:val="none" w:sz="0" w:space="0" w:color="auto"/>
                    <w:left w:val="none" w:sz="0" w:space="0" w:color="auto"/>
                    <w:bottom w:val="none" w:sz="0" w:space="0" w:color="auto"/>
                    <w:right w:val="none" w:sz="0" w:space="0" w:color="auto"/>
                  </w:divBdr>
                  <w:divsChild>
                    <w:div w:id="674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79148">
      <w:bodyDiv w:val="1"/>
      <w:marLeft w:val="0"/>
      <w:marRight w:val="0"/>
      <w:marTop w:val="0"/>
      <w:marBottom w:val="0"/>
      <w:divBdr>
        <w:top w:val="none" w:sz="0" w:space="0" w:color="auto"/>
        <w:left w:val="none" w:sz="0" w:space="0" w:color="auto"/>
        <w:bottom w:val="none" w:sz="0" w:space="0" w:color="auto"/>
        <w:right w:val="none" w:sz="0" w:space="0" w:color="auto"/>
      </w:divBdr>
      <w:divsChild>
        <w:div w:id="1489321701">
          <w:marLeft w:val="0"/>
          <w:marRight w:val="0"/>
          <w:marTop w:val="0"/>
          <w:marBottom w:val="0"/>
          <w:divBdr>
            <w:top w:val="none" w:sz="0" w:space="0" w:color="auto"/>
            <w:left w:val="none" w:sz="0" w:space="0" w:color="auto"/>
            <w:bottom w:val="none" w:sz="0" w:space="0" w:color="auto"/>
            <w:right w:val="none" w:sz="0" w:space="0" w:color="auto"/>
          </w:divBdr>
          <w:divsChild>
            <w:div w:id="424955822">
              <w:marLeft w:val="0"/>
              <w:marRight w:val="0"/>
              <w:marTop w:val="0"/>
              <w:marBottom w:val="0"/>
              <w:divBdr>
                <w:top w:val="none" w:sz="0" w:space="0" w:color="auto"/>
                <w:left w:val="none" w:sz="0" w:space="0" w:color="auto"/>
                <w:bottom w:val="none" w:sz="0" w:space="0" w:color="auto"/>
                <w:right w:val="none" w:sz="0" w:space="0" w:color="auto"/>
              </w:divBdr>
              <w:divsChild>
                <w:div w:id="202720131">
                  <w:marLeft w:val="0"/>
                  <w:marRight w:val="0"/>
                  <w:marTop w:val="0"/>
                  <w:marBottom w:val="0"/>
                  <w:divBdr>
                    <w:top w:val="none" w:sz="0" w:space="0" w:color="auto"/>
                    <w:left w:val="none" w:sz="0" w:space="0" w:color="auto"/>
                    <w:bottom w:val="none" w:sz="0" w:space="0" w:color="auto"/>
                    <w:right w:val="none" w:sz="0" w:space="0" w:color="auto"/>
                  </w:divBdr>
                  <w:divsChild>
                    <w:div w:id="6755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09221">
      <w:bodyDiv w:val="1"/>
      <w:marLeft w:val="0"/>
      <w:marRight w:val="0"/>
      <w:marTop w:val="0"/>
      <w:marBottom w:val="0"/>
      <w:divBdr>
        <w:top w:val="none" w:sz="0" w:space="0" w:color="auto"/>
        <w:left w:val="none" w:sz="0" w:space="0" w:color="auto"/>
        <w:bottom w:val="none" w:sz="0" w:space="0" w:color="auto"/>
        <w:right w:val="none" w:sz="0" w:space="0" w:color="auto"/>
      </w:divBdr>
    </w:div>
    <w:div w:id="1666787299">
      <w:bodyDiv w:val="1"/>
      <w:marLeft w:val="0"/>
      <w:marRight w:val="0"/>
      <w:marTop w:val="0"/>
      <w:marBottom w:val="0"/>
      <w:divBdr>
        <w:top w:val="none" w:sz="0" w:space="0" w:color="auto"/>
        <w:left w:val="none" w:sz="0" w:space="0" w:color="auto"/>
        <w:bottom w:val="none" w:sz="0" w:space="0" w:color="auto"/>
        <w:right w:val="none" w:sz="0" w:space="0" w:color="auto"/>
      </w:divBdr>
    </w:div>
    <w:div w:id="1666859572">
      <w:bodyDiv w:val="1"/>
      <w:marLeft w:val="0"/>
      <w:marRight w:val="0"/>
      <w:marTop w:val="0"/>
      <w:marBottom w:val="0"/>
      <w:divBdr>
        <w:top w:val="none" w:sz="0" w:space="0" w:color="auto"/>
        <w:left w:val="none" w:sz="0" w:space="0" w:color="auto"/>
        <w:bottom w:val="none" w:sz="0" w:space="0" w:color="auto"/>
        <w:right w:val="none" w:sz="0" w:space="0" w:color="auto"/>
      </w:divBdr>
    </w:div>
    <w:div w:id="1669483486">
      <w:bodyDiv w:val="1"/>
      <w:marLeft w:val="0"/>
      <w:marRight w:val="0"/>
      <w:marTop w:val="0"/>
      <w:marBottom w:val="0"/>
      <w:divBdr>
        <w:top w:val="none" w:sz="0" w:space="0" w:color="auto"/>
        <w:left w:val="none" w:sz="0" w:space="0" w:color="auto"/>
        <w:bottom w:val="none" w:sz="0" w:space="0" w:color="auto"/>
        <w:right w:val="none" w:sz="0" w:space="0" w:color="auto"/>
      </w:divBdr>
    </w:div>
    <w:div w:id="1714890183">
      <w:bodyDiv w:val="1"/>
      <w:marLeft w:val="0"/>
      <w:marRight w:val="0"/>
      <w:marTop w:val="0"/>
      <w:marBottom w:val="0"/>
      <w:divBdr>
        <w:top w:val="none" w:sz="0" w:space="0" w:color="auto"/>
        <w:left w:val="none" w:sz="0" w:space="0" w:color="auto"/>
        <w:bottom w:val="none" w:sz="0" w:space="0" w:color="auto"/>
        <w:right w:val="none" w:sz="0" w:space="0" w:color="auto"/>
      </w:divBdr>
    </w:div>
    <w:div w:id="1716126264">
      <w:bodyDiv w:val="1"/>
      <w:marLeft w:val="0"/>
      <w:marRight w:val="0"/>
      <w:marTop w:val="0"/>
      <w:marBottom w:val="0"/>
      <w:divBdr>
        <w:top w:val="none" w:sz="0" w:space="0" w:color="auto"/>
        <w:left w:val="none" w:sz="0" w:space="0" w:color="auto"/>
        <w:bottom w:val="none" w:sz="0" w:space="0" w:color="auto"/>
        <w:right w:val="none" w:sz="0" w:space="0" w:color="auto"/>
      </w:divBdr>
    </w:div>
    <w:div w:id="1725064376">
      <w:bodyDiv w:val="1"/>
      <w:marLeft w:val="0"/>
      <w:marRight w:val="0"/>
      <w:marTop w:val="0"/>
      <w:marBottom w:val="0"/>
      <w:divBdr>
        <w:top w:val="none" w:sz="0" w:space="0" w:color="auto"/>
        <w:left w:val="none" w:sz="0" w:space="0" w:color="auto"/>
        <w:bottom w:val="none" w:sz="0" w:space="0" w:color="auto"/>
        <w:right w:val="none" w:sz="0" w:space="0" w:color="auto"/>
      </w:divBdr>
    </w:div>
    <w:div w:id="1740247306">
      <w:bodyDiv w:val="1"/>
      <w:marLeft w:val="0"/>
      <w:marRight w:val="0"/>
      <w:marTop w:val="0"/>
      <w:marBottom w:val="0"/>
      <w:divBdr>
        <w:top w:val="none" w:sz="0" w:space="0" w:color="auto"/>
        <w:left w:val="none" w:sz="0" w:space="0" w:color="auto"/>
        <w:bottom w:val="none" w:sz="0" w:space="0" w:color="auto"/>
        <w:right w:val="none" w:sz="0" w:space="0" w:color="auto"/>
      </w:divBdr>
      <w:divsChild>
        <w:div w:id="641813071">
          <w:marLeft w:val="0"/>
          <w:marRight w:val="0"/>
          <w:marTop w:val="0"/>
          <w:marBottom w:val="0"/>
          <w:divBdr>
            <w:top w:val="none" w:sz="0" w:space="0" w:color="auto"/>
            <w:left w:val="none" w:sz="0" w:space="0" w:color="auto"/>
            <w:bottom w:val="none" w:sz="0" w:space="0" w:color="auto"/>
            <w:right w:val="none" w:sz="0" w:space="0" w:color="auto"/>
          </w:divBdr>
          <w:divsChild>
            <w:div w:id="1698241362">
              <w:marLeft w:val="0"/>
              <w:marRight w:val="0"/>
              <w:marTop w:val="0"/>
              <w:marBottom w:val="0"/>
              <w:divBdr>
                <w:top w:val="none" w:sz="0" w:space="0" w:color="auto"/>
                <w:left w:val="none" w:sz="0" w:space="0" w:color="auto"/>
                <w:bottom w:val="none" w:sz="0" w:space="0" w:color="auto"/>
                <w:right w:val="none" w:sz="0" w:space="0" w:color="auto"/>
              </w:divBdr>
              <w:divsChild>
                <w:div w:id="21072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00335">
      <w:bodyDiv w:val="1"/>
      <w:marLeft w:val="0"/>
      <w:marRight w:val="0"/>
      <w:marTop w:val="0"/>
      <w:marBottom w:val="0"/>
      <w:divBdr>
        <w:top w:val="none" w:sz="0" w:space="0" w:color="auto"/>
        <w:left w:val="none" w:sz="0" w:space="0" w:color="auto"/>
        <w:bottom w:val="none" w:sz="0" w:space="0" w:color="auto"/>
        <w:right w:val="none" w:sz="0" w:space="0" w:color="auto"/>
      </w:divBdr>
    </w:div>
    <w:div w:id="1748188012">
      <w:bodyDiv w:val="1"/>
      <w:marLeft w:val="0"/>
      <w:marRight w:val="0"/>
      <w:marTop w:val="0"/>
      <w:marBottom w:val="0"/>
      <w:divBdr>
        <w:top w:val="none" w:sz="0" w:space="0" w:color="auto"/>
        <w:left w:val="none" w:sz="0" w:space="0" w:color="auto"/>
        <w:bottom w:val="none" w:sz="0" w:space="0" w:color="auto"/>
        <w:right w:val="none" w:sz="0" w:space="0" w:color="auto"/>
      </w:divBdr>
      <w:divsChild>
        <w:div w:id="368577653">
          <w:marLeft w:val="0"/>
          <w:marRight w:val="0"/>
          <w:marTop w:val="0"/>
          <w:marBottom w:val="0"/>
          <w:divBdr>
            <w:top w:val="none" w:sz="0" w:space="0" w:color="auto"/>
            <w:left w:val="none" w:sz="0" w:space="0" w:color="auto"/>
            <w:bottom w:val="none" w:sz="0" w:space="0" w:color="auto"/>
            <w:right w:val="none" w:sz="0" w:space="0" w:color="auto"/>
          </w:divBdr>
          <w:divsChild>
            <w:div w:id="905460437">
              <w:marLeft w:val="0"/>
              <w:marRight w:val="0"/>
              <w:marTop w:val="0"/>
              <w:marBottom w:val="0"/>
              <w:divBdr>
                <w:top w:val="none" w:sz="0" w:space="0" w:color="auto"/>
                <w:left w:val="none" w:sz="0" w:space="0" w:color="auto"/>
                <w:bottom w:val="none" w:sz="0" w:space="0" w:color="auto"/>
                <w:right w:val="none" w:sz="0" w:space="0" w:color="auto"/>
              </w:divBdr>
              <w:divsChild>
                <w:div w:id="17181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13769">
      <w:bodyDiv w:val="1"/>
      <w:marLeft w:val="0"/>
      <w:marRight w:val="0"/>
      <w:marTop w:val="0"/>
      <w:marBottom w:val="0"/>
      <w:divBdr>
        <w:top w:val="none" w:sz="0" w:space="0" w:color="auto"/>
        <w:left w:val="none" w:sz="0" w:space="0" w:color="auto"/>
        <w:bottom w:val="none" w:sz="0" w:space="0" w:color="auto"/>
        <w:right w:val="none" w:sz="0" w:space="0" w:color="auto"/>
      </w:divBdr>
    </w:div>
    <w:div w:id="1778872169">
      <w:bodyDiv w:val="1"/>
      <w:marLeft w:val="0"/>
      <w:marRight w:val="0"/>
      <w:marTop w:val="0"/>
      <w:marBottom w:val="0"/>
      <w:divBdr>
        <w:top w:val="none" w:sz="0" w:space="0" w:color="auto"/>
        <w:left w:val="none" w:sz="0" w:space="0" w:color="auto"/>
        <w:bottom w:val="none" w:sz="0" w:space="0" w:color="auto"/>
        <w:right w:val="none" w:sz="0" w:space="0" w:color="auto"/>
      </w:divBdr>
      <w:divsChild>
        <w:div w:id="2021541946">
          <w:marLeft w:val="0"/>
          <w:marRight w:val="0"/>
          <w:marTop w:val="0"/>
          <w:marBottom w:val="0"/>
          <w:divBdr>
            <w:top w:val="none" w:sz="0" w:space="0" w:color="auto"/>
            <w:left w:val="none" w:sz="0" w:space="0" w:color="auto"/>
            <w:bottom w:val="none" w:sz="0" w:space="0" w:color="auto"/>
            <w:right w:val="none" w:sz="0" w:space="0" w:color="auto"/>
          </w:divBdr>
          <w:divsChild>
            <w:div w:id="1568883616">
              <w:marLeft w:val="0"/>
              <w:marRight w:val="0"/>
              <w:marTop w:val="0"/>
              <w:marBottom w:val="0"/>
              <w:divBdr>
                <w:top w:val="none" w:sz="0" w:space="0" w:color="auto"/>
                <w:left w:val="none" w:sz="0" w:space="0" w:color="auto"/>
                <w:bottom w:val="none" w:sz="0" w:space="0" w:color="auto"/>
                <w:right w:val="none" w:sz="0" w:space="0" w:color="auto"/>
              </w:divBdr>
              <w:divsChild>
                <w:div w:id="1107701645">
                  <w:marLeft w:val="0"/>
                  <w:marRight w:val="0"/>
                  <w:marTop w:val="0"/>
                  <w:marBottom w:val="0"/>
                  <w:divBdr>
                    <w:top w:val="none" w:sz="0" w:space="0" w:color="auto"/>
                    <w:left w:val="none" w:sz="0" w:space="0" w:color="auto"/>
                    <w:bottom w:val="none" w:sz="0" w:space="0" w:color="auto"/>
                    <w:right w:val="none" w:sz="0" w:space="0" w:color="auto"/>
                  </w:divBdr>
                  <w:divsChild>
                    <w:div w:id="18167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063314">
      <w:bodyDiv w:val="1"/>
      <w:marLeft w:val="0"/>
      <w:marRight w:val="0"/>
      <w:marTop w:val="0"/>
      <w:marBottom w:val="0"/>
      <w:divBdr>
        <w:top w:val="none" w:sz="0" w:space="0" w:color="auto"/>
        <w:left w:val="none" w:sz="0" w:space="0" w:color="auto"/>
        <w:bottom w:val="none" w:sz="0" w:space="0" w:color="auto"/>
        <w:right w:val="none" w:sz="0" w:space="0" w:color="auto"/>
      </w:divBdr>
    </w:div>
    <w:div w:id="1811627124">
      <w:bodyDiv w:val="1"/>
      <w:marLeft w:val="0"/>
      <w:marRight w:val="0"/>
      <w:marTop w:val="0"/>
      <w:marBottom w:val="0"/>
      <w:divBdr>
        <w:top w:val="none" w:sz="0" w:space="0" w:color="auto"/>
        <w:left w:val="none" w:sz="0" w:space="0" w:color="auto"/>
        <w:bottom w:val="none" w:sz="0" w:space="0" w:color="auto"/>
        <w:right w:val="none" w:sz="0" w:space="0" w:color="auto"/>
      </w:divBdr>
    </w:div>
    <w:div w:id="1818495176">
      <w:bodyDiv w:val="1"/>
      <w:marLeft w:val="0"/>
      <w:marRight w:val="0"/>
      <w:marTop w:val="0"/>
      <w:marBottom w:val="0"/>
      <w:divBdr>
        <w:top w:val="none" w:sz="0" w:space="0" w:color="auto"/>
        <w:left w:val="none" w:sz="0" w:space="0" w:color="auto"/>
        <w:bottom w:val="none" w:sz="0" w:space="0" w:color="auto"/>
        <w:right w:val="none" w:sz="0" w:space="0" w:color="auto"/>
      </w:divBdr>
    </w:div>
    <w:div w:id="1821337305">
      <w:bodyDiv w:val="1"/>
      <w:marLeft w:val="0"/>
      <w:marRight w:val="0"/>
      <w:marTop w:val="0"/>
      <w:marBottom w:val="0"/>
      <w:divBdr>
        <w:top w:val="none" w:sz="0" w:space="0" w:color="auto"/>
        <w:left w:val="none" w:sz="0" w:space="0" w:color="auto"/>
        <w:bottom w:val="none" w:sz="0" w:space="0" w:color="auto"/>
        <w:right w:val="none" w:sz="0" w:space="0" w:color="auto"/>
      </w:divBdr>
      <w:divsChild>
        <w:div w:id="1087776185">
          <w:marLeft w:val="0"/>
          <w:marRight w:val="0"/>
          <w:marTop w:val="0"/>
          <w:marBottom w:val="0"/>
          <w:divBdr>
            <w:top w:val="none" w:sz="0" w:space="0" w:color="auto"/>
            <w:left w:val="none" w:sz="0" w:space="0" w:color="auto"/>
            <w:bottom w:val="none" w:sz="0" w:space="0" w:color="auto"/>
            <w:right w:val="none" w:sz="0" w:space="0" w:color="auto"/>
          </w:divBdr>
          <w:divsChild>
            <w:div w:id="599721986">
              <w:marLeft w:val="0"/>
              <w:marRight w:val="0"/>
              <w:marTop w:val="0"/>
              <w:marBottom w:val="0"/>
              <w:divBdr>
                <w:top w:val="none" w:sz="0" w:space="0" w:color="auto"/>
                <w:left w:val="none" w:sz="0" w:space="0" w:color="auto"/>
                <w:bottom w:val="none" w:sz="0" w:space="0" w:color="auto"/>
                <w:right w:val="none" w:sz="0" w:space="0" w:color="auto"/>
              </w:divBdr>
              <w:divsChild>
                <w:div w:id="120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7496">
          <w:marLeft w:val="0"/>
          <w:marRight w:val="0"/>
          <w:marTop w:val="0"/>
          <w:marBottom w:val="0"/>
          <w:divBdr>
            <w:top w:val="none" w:sz="0" w:space="0" w:color="auto"/>
            <w:left w:val="none" w:sz="0" w:space="0" w:color="auto"/>
            <w:bottom w:val="none" w:sz="0" w:space="0" w:color="auto"/>
            <w:right w:val="none" w:sz="0" w:space="0" w:color="auto"/>
          </w:divBdr>
          <w:divsChild>
            <w:div w:id="1615483773">
              <w:marLeft w:val="0"/>
              <w:marRight w:val="0"/>
              <w:marTop w:val="0"/>
              <w:marBottom w:val="0"/>
              <w:divBdr>
                <w:top w:val="none" w:sz="0" w:space="0" w:color="auto"/>
                <w:left w:val="none" w:sz="0" w:space="0" w:color="auto"/>
                <w:bottom w:val="none" w:sz="0" w:space="0" w:color="auto"/>
                <w:right w:val="none" w:sz="0" w:space="0" w:color="auto"/>
              </w:divBdr>
              <w:divsChild>
                <w:div w:id="91004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82277">
      <w:bodyDiv w:val="1"/>
      <w:marLeft w:val="0"/>
      <w:marRight w:val="0"/>
      <w:marTop w:val="0"/>
      <w:marBottom w:val="0"/>
      <w:divBdr>
        <w:top w:val="none" w:sz="0" w:space="0" w:color="auto"/>
        <w:left w:val="none" w:sz="0" w:space="0" w:color="auto"/>
        <w:bottom w:val="none" w:sz="0" w:space="0" w:color="auto"/>
        <w:right w:val="none" w:sz="0" w:space="0" w:color="auto"/>
      </w:divBdr>
      <w:divsChild>
        <w:div w:id="1926263889">
          <w:marLeft w:val="0"/>
          <w:marRight w:val="0"/>
          <w:marTop w:val="0"/>
          <w:marBottom w:val="0"/>
          <w:divBdr>
            <w:top w:val="none" w:sz="0" w:space="0" w:color="auto"/>
            <w:left w:val="none" w:sz="0" w:space="0" w:color="auto"/>
            <w:bottom w:val="none" w:sz="0" w:space="0" w:color="auto"/>
            <w:right w:val="none" w:sz="0" w:space="0" w:color="auto"/>
          </w:divBdr>
          <w:divsChild>
            <w:div w:id="372774786">
              <w:marLeft w:val="0"/>
              <w:marRight w:val="0"/>
              <w:marTop w:val="0"/>
              <w:marBottom w:val="0"/>
              <w:divBdr>
                <w:top w:val="none" w:sz="0" w:space="0" w:color="auto"/>
                <w:left w:val="none" w:sz="0" w:space="0" w:color="auto"/>
                <w:bottom w:val="none" w:sz="0" w:space="0" w:color="auto"/>
                <w:right w:val="none" w:sz="0" w:space="0" w:color="auto"/>
              </w:divBdr>
              <w:divsChild>
                <w:div w:id="6877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8395">
      <w:bodyDiv w:val="1"/>
      <w:marLeft w:val="0"/>
      <w:marRight w:val="0"/>
      <w:marTop w:val="0"/>
      <w:marBottom w:val="0"/>
      <w:divBdr>
        <w:top w:val="none" w:sz="0" w:space="0" w:color="auto"/>
        <w:left w:val="none" w:sz="0" w:space="0" w:color="auto"/>
        <w:bottom w:val="none" w:sz="0" w:space="0" w:color="auto"/>
        <w:right w:val="none" w:sz="0" w:space="0" w:color="auto"/>
      </w:divBdr>
    </w:div>
    <w:div w:id="1964073903">
      <w:bodyDiv w:val="1"/>
      <w:marLeft w:val="0"/>
      <w:marRight w:val="0"/>
      <w:marTop w:val="0"/>
      <w:marBottom w:val="0"/>
      <w:divBdr>
        <w:top w:val="none" w:sz="0" w:space="0" w:color="auto"/>
        <w:left w:val="none" w:sz="0" w:space="0" w:color="auto"/>
        <w:bottom w:val="none" w:sz="0" w:space="0" w:color="auto"/>
        <w:right w:val="none" w:sz="0" w:space="0" w:color="auto"/>
      </w:divBdr>
    </w:div>
    <w:div w:id="1994289607">
      <w:bodyDiv w:val="1"/>
      <w:marLeft w:val="0"/>
      <w:marRight w:val="0"/>
      <w:marTop w:val="0"/>
      <w:marBottom w:val="0"/>
      <w:divBdr>
        <w:top w:val="none" w:sz="0" w:space="0" w:color="auto"/>
        <w:left w:val="none" w:sz="0" w:space="0" w:color="auto"/>
        <w:bottom w:val="none" w:sz="0" w:space="0" w:color="auto"/>
        <w:right w:val="none" w:sz="0" w:space="0" w:color="auto"/>
      </w:divBdr>
      <w:divsChild>
        <w:div w:id="2009868637">
          <w:marLeft w:val="0"/>
          <w:marRight w:val="0"/>
          <w:marTop w:val="0"/>
          <w:marBottom w:val="0"/>
          <w:divBdr>
            <w:top w:val="none" w:sz="0" w:space="0" w:color="auto"/>
            <w:left w:val="none" w:sz="0" w:space="0" w:color="auto"/>
            <w:bottom w:val="none" w:sz="0" w:space="0" w:color="auto"/>
            <w:right w:val="none" w:sz="0" w:space="0" w:color="auto"/>
          </w:divBdr>
          <w:divsChild>
            <w:div w:id="292440509">
              <w:marLeft w:val="0"/>
              <w:marRight w:val="0"/>
              <w:marTop w:val="0"/>
              <w:marBottom w:val="0"/>
              <w:divBdr>
                <w:top w:val="none" w:sz="0" w:space="0" w:color="auto"/>
                <w:left w:val="none" w:sz="0" w:space="0" w:color="auto"/>
                <w:bottom w:val="none" w:sz="0" w:space="0" w:color="auto"/>
                <w:right w:val="none" w:sz="0" w:space="0" w:color="auto"/>
              </w:divBdr>
              <w:divsChild>
                <w:div w:id="10290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80312">
      <w:bodyDiv w:val="1"/>
      <w:marLeft w:val="0"/>
      <w:marRight w:val="0"/>
      <w:marTop w:val="0"/>
      <w:marBottom w:val="0"/>
      <w:divBdr>
        <w:top w:val="none" w:sz="0" w:space="0" w:color="auto"/>
        <w:left w:val="none" w:sz="0" w:space="0" w:color="auto"/>
        <w:bottom w:val="none" w:sz="0" w:space="0" w:color="auto"/>
        <w:right w:val="none" w:sz="0" w:space="0" w:color="auto"/>
      </w:divBdr>
    </w:div>
    <w:div w:id="2008704340">
      <w:bodyDiv w:val="1"/>
      <w:marLeft w:val="0"/>
      <w:marRight w:val="0"/>
      <w:marTop w:val="0"/>
      <w:marBottom w:val="0"/>
      <w:divBdr>
        <w:top w:val="none" w:sz="0" w:space="0" w:color="auto"/>
        <w:left w:val="none" w:sz="0" w:space="0" w:color="auto"/>
        <w:bottom w:val="none" w:sz="0" w:space="0" w:color="auto"/>
        <w:right w:val="none" w:sz="0" w:space="0" w:color="auto"/>
      </w:divBdr>
    </w:div>
    <w:div w:id="2054690433">
      <w:bodyDiv w:val="1"/>
      <w:marLeft w:val="0"/>
      <w:marRight w:val="0"/>
      <w:marTop w:val="0"/>
      <w:marBottom w:val="0"/>
      <w:divBdr>
        <w:top w:val="none" w:sz="0" w:space="0" w:color="auto"/>
        <w:left w:val="none" w:sz="0" w:space="0" w:color="auto"/>
        <w:bottom w:val="none" w:sz="0" w:space="0" w:color="auto"/>
        <w:right w:val="none" w:sz="0" w:space="0" w:color="auto"/>
      </w:divBdr>
      <w:divsChild>
        <w:div w:id="788401253">
          <w:marLeft w:val="0"/>
          <w:marRight w:val="0"/>
          <w:marTop w:val="0"/>
          <w:marBottom w:val="0"/>
          <w:divBdr>
            <w:top w:val="none" w:sz="0" w:space="0" w:color="auto"/>
            <w:left w:val="none" w:sz="0" w:space="0" w:color="auto"/>
            <w:bottom w:val="none" w:sz="0" w:space="0" w:color="auto"/>
            <w:right w:val="none" w:sz="0" w:space="0" w:color="auto"/>
          </w:divBdr>
          <w:divsChild>
            <w:div w:id="1492792879">
              <w:marLeft w:val="0"/>
              <w:marRight w:val="0"/>
              <w:marTop w:val="0"/>
              <w:marBottom w:val="0"/>
              <w:divBdr>
                <w:top w:val="none" w:sz="0" w:space="0" w:color="auto"/>
                <w:left w:val="none" w:sz="0" w:space="0" w:color="auto"/>
                <w:bottom w:val="none" w:sz="0" w:space="0" w:color="auto"/>
                <w:right w:val="none" w:sz="0" w:space="0" w:color="auto"/>
              </w:divBdr>
              <w:divsChild>
                <w:div w:id="1530877690">
                  <w:marLeft w:val="0"/>
                  <w:marRight w:val="0"/>
                  <w:marTop w:val="0"/>
                  <w:marBottom w:val="0"/>
                  <w:divBdr>
                    <w:top w:val="none" w:sz="0" w:space="0" w:color="auto"/>
                    <w:left w:val="none" w:sz="0" w:space="0" w:color="auto"/>
                    <w:bottom w:val="none" w:sz="0" w:space="0" w:color="auto"/>
                    <w:right w:val="none" w:sz="0" w:space="0" w:color="auto"/>
                  </w:divBdr>
                  <w:divsChild>
                    <w:div w:id="17786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258433">
      <w:bodyDiv w:val="1"/>
      <w:marLeft w:val="0"/>
      <w:marRight w:val="0"/>
      <w:marTop w:val="0"/>
      <w:marBottom w:val="0"/>
      <w:divBdr>
        <w:top w:val="none" w:sz="0" w:space="0" w:color="auto"/>
        <w:left w:val="none" w:sz="0" w:space="0" w:color="auto"/>
        <w:bottom w:val="none" w:sz="0" w:space="0" w:color="auto"/>
        <w:right w:val="none" w:sz="0" w:space="0" w:color="auto"/>
      </w:divBdr>
    </w:div>
    <w:div w:id="2099405580">
      <w:bodyDiv w:val="1"/>
      <w:marLeft w:val="0"/>
      <w:marRight w:val="0"/>
      <w:marTop w:val="0"/>
      <w:marBottom w:val="0"/>
      <w:divBdr>
        <w:top w:val="none" w:sz="0" w:space="0" w:color="auto"/>
        <w:left w:val="none" w:sz="0" w:space="0" w:color="auto"/>
        <w:bottom w:val="none" w:sz="0" w:space="0" w:color="auto"/>
        <w:right w:val="none" w:sz="0" w:space="0" w:color="auto"/>
      </w:divBdr>
    </w:div>
    <w:div w:id="2118987765">
      <w:bodyDiv w:val="1"/>
      <w:marLeft w:val="0"/>
      <w:marRight w:val="0"/>
      <w:marTop w:val="0"/>
      <w:marBottom w:val="0"/>
      <w:divBdr>
        <w:top w:val="none" w:sz="0" w:space="0" w:color="auto"/>
        <w:left w:val="none" w:sz="0" w:space="0" w:color="auto"/>
        <w:bottom w:val="none" w:sz="0" w:space="0" w:color="auto"/>
        <w:right w:val="none" w:sz="0" w:space="0" w:color="auto"/>
      </w:divBdr>
    </w:div>
    <w:div w:id="213860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file:///C:\Users\Phil\Dropbox\TDB%20Advisory%202\Client%20Files\Foodstuffs\Development%20Contributions\Reports\TDB%20DC%20Submission%20to%20Productivity%20Council-%20181127.docx" TargetMode="External"/><Relationship Id="rId26" Type="http://schemas.openxmlformats.org/officeDocument/2006/relationships/image" Target="media/image6.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file:///C:\Users\Phil\Dropbox\TDB%20Advisory%202\Client%20Files\Foodstuffs\Development%20Contributions\Reports\TDB%20DC%20Submission%20to%20Productivity%20Council-%20181127.docx" TargetMode="External"/><Relationship Id="rId34" Type="http://schemas.openxmlformats.org/officeDocument/2006/relationships/image" Target="media/image14.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file:///C:\Users\tomst\AppData\Local\Microsoft\Windows\INetCache\Content.Outlook\M5I6XU0I\info@tdb.co.nz"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tdb.co.nz" TargetMode="External"/><Relationship Id="rId20" Type="http://schemas.openxmlformats.org/officeDocument/2006/relationships/hyperlink" Target="file:///C:\Users\Phil\Dropbox\TDB%20Advisory%202\Client%20Files\Foodstuffs\Development%20Contributions\Reports\TDB%20DC%20Submission%20to%20Productivity%20Council-%20181127.docx"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tdb.co.nz" TargetMode="External"/><Relationship Id="rId23" Type="http://schemas.openxmlformats.org/officeDocument/2006/relationships/hyperlink" Target="file:///C:\Users\Phil\Dropbox\TDB%20Advisory%202\Client%20Files\Foodstuffs\Development%20Contributions\Reports\TDB%20DC%20Submission%20to%20Productivity%20Council-%20181127.docx" TargetMode="External"/><Relationship Id="rId28" Type="http://schemas.openxmlformats.org/officeDocument/2006/relationships/image" Target="media/image8.jpe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file:///C:\Users\Phil\Dropbox\TDB%20Advisory%202\Client%20Files\Foodstuffs\Development%20Contributions\Reports\TDB%20DC%20Submission%20to%20Productivity%20Council-%20181127.docx" TargetMode="Externa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hyperlink" Target="file:///C:\Users\Phil\Dropbox\TDB%20Advisory%202\Client%20Files\Foodstuffs\Development%20Contributions\Reports\TDB%20DC%20Submission%20to%20Productivity%20Council-%20181127.docx"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www.dia.govt.nz/Fact-sheets-for-2014-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2A75129-C296-5D47-972C-A1A05DEDFF2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7339768AE87746B92EBF614B259859" ma:contentTypeVersion="5" ma:contentTypeDescription="Create a new document." ma:contentTypeScope="" ma:versionID="f91624838767464ca8ac63cdbb825380">
  <xsd:schema xmlns:xsd="http://www.w3.org/2001/XMLSchema" xmlns:xs="http://www.w3.org/2001/XMLSchema" xmlns:p="http://schemas.microsoft.com/office/2006/metadata/properties" xmlns:ns2="5e264625-43b0-44b4-99eb-b3265463b7d6" xmlns:ns3="54ccc787-a08c-4b23-b846-eda5aa876e67" xmlns:ns4="a5fb9d00-bd2f-4f6c-9f93-b74d9cfbeb3a" targetNamespace="http://schemas.microsoft.com/office/2006/metadata/properties" ma:root="true" ma:fieldsID="f411193d13cb2df95a8b52a3d49221ce" ns2:_="" ns3:_="" ns4:_="">
    <xsd:import namespace="5e264625-43b0-44b4-99eb-b3265463b7d6"/>
    <xsd:import namespace="54ccc787-a08c-4b23-b846-eda5aa876e67"/>
    <xsd:import namespace="a5fb9d00-bd2f-4f6c-9f93-b74d9cfbeb3a"/>
    <xsd:element name="properties">
      <xsd:complexType>
        <xsd:sequence>
          <xsd:element name="documentManagement">
            <xsd:complexType>
              <xsd:all>
                <xsd:element ref="ns2:Document_x0020_Type" minOccurs="0"/>
                <xsd:element ref="ns2:Year"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264625-43b0-44b4-99eb-b3265463b7d6" elementFormDefault="qualified">
    <xsd:import namespace="http://schemas.microsoft.com/office/2006/documentManagement/types"/>
    <xsd:import namespace="http://schemas.microsoft.com/office/infopath/2007/PartnerControls"/>
    <xsd:element name="Document_x0020_Type" ma:index="8" nillable="true" ma:displayName="Document Type" ma:description="Specify the type of document." ma:format="Dropdown" ma:indexed="true" ma:internalName="Document_x0020_Type">
      <xsd:simpleType>
        <xsd:restriction base="dms:Choice">
          <xsd:enumeration value="Précis"/>
          <xsd:enumeration value="Submission"/>
          <xsd:enumeration value="Cabinet Paper"/>
          <xsd:enumeration value="Case Law"/>
          <xsd:enumeration value="Correspondence"/>
          <xsd:enumeration value="Data"/>
          <xsd:enumeration value="File Note"/>
          <xsd:enumeration value="Guidance"/>
          <xsd:enumeration value="Legal Advice"/>
          <xsd:enumeration value="Memo"/>
          <xsd:enumeration value="Minutes"/>
          <xsd:enumeration value="Policy Statement"/>
          <xsd:enumeration value="Presentation"/>
          <xsd:enumeration value="Press Release"/>
          <xsd:enumeration value="Report"/>
        </xsd:restriction>
      </xsd:simpleType>
    </xsd:element>
    <xsd:element name="Year" ma:index="9" nillable="true" ma:displayName="Year" ma:description="Specify the relevant year." ma:format="Dropdown" ma:indexed="true" ma:internalName="Year">
      <xsd:simpleType>
        <xsd:restriction base="dms:Choice">
          <xsd:enumeration value="Permanent"/>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enumeration value="1999"/>
          <xsd:enumeration value="1998"/>
          <xsd:enumeration value="1997"/>
        </xsd:restriction>
      </xsd:simpleType>
    </xsd:element>
  </xsd:schema>
  <xsd:schema xmlns:xsd="http://www.w3.org/2001/XMLSchema" xmlns:xs="http://www.w3.org/2001/XMLSchema" xmlns:dms="http://schemas.microsoft.com/office/2006/documentManagement/types" xmlns:pc="http://schemas.microsoft.com/office/infopath/2007/PartnerControls" targetNamespace="54ccc787-a08c-4b23-b846-eda5aa876e6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b9d00-bd2f-4f6c-9f93-b74d9cfbeb3a"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Year xmlns="5e264625-43b0-44b4-99eb-b3265463b7d6">2018</Year>
    <Document_x0020_Type xmlns="5e264625-43b0-44b4-99eb-b3265463b7d6">Submission</Document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SixthEditionOfficeOnline.xsl" StyleName="APA" Version="6">
  <b:Source>
    <b:Tag>NZT16</b:Tag>
    <b:SourceType>Report</b:SourceType>
    <b:Guid>{836049B5-A453-43F3-917E-F60AD4574728}</b:Guid>
    <b:Title>Characteristics of Children at Greater Risk of Poor Outcomes as Adults</b:Title>
    <b:Year>2016</b:Year>
    <b:Author>
      <b:Author>
        <b:Corporate>Treasury, NZ</b:Corporate>
      </b:Author>
    </b:Author>
    <b:RefOrder>1</b:RefOrder>
  </b:Source>
</b:Sources>
</file>

<file path=customXml/itemProps1.xml><?xml version="1.0" encoding="utf-8"?>
<ds:datastoreItem xmlns:ds="http://schemas.openxmlformats.org/officeDocument/2006/customXml" ds:itemID="{3539CB00-EBF0-48AA-BF5C-8B1265733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264625-43b0-44b4-99eb-b3265463b7d6"/>
    <ds:schemaRef ds:uri="54ccc787-a08c-4b23-b846-eda5aa876e67"/>
    <ds:schemaRef ds:uri="a5fb9d00-bd2f-4f6c-9f93-b74d9cfbe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C4D28B-FB53-4994-954D-AFC37DDC152B}">
  <ds:schemaRefs>
    <ds:schemaRef ds:uri="5e264625-43b0-44b4-99eb-b3265463b7d6"/>
    <ds:schemaRef ds:uri="http://purl.org/dc/terms/"/>
    <ds:schemaRef ds:uri="http://schemas.microsoft.com/office/2006/documentManagement/types"/>
    <ds:schemaRef ds:uri="http://www.w3.org/XML/1998/namespace"/>
    <ds:schemaRef ds:uri="http://purl.org/dc/elements/1.1/"/>
    <ds:schemaRef ds:uri="http://purl.org/dc/dcmitype/"/>
    <ds:schemaRef ds:uri="http://schemas.microsoft.com/office/2006/metadata/properties"/>
    <ds:schemaRef ds:uri="http://schemas.openxmlformats.org/package/2006/metadata/core-properties"/>
    <ds:schemaRef ds:uri="http://schemas.microsoft.com/office/infopath/2007/PartnerControls"/>
    <ds:schemaRef ds:uri="a5fb9d00-bd2f-4f6c-9f93-b74d9cfbeb3a"/>
    <ds:schemaRef ds:uri="54ccc787-a08c-4b23-b846-eda5aa876e67"/>
  </ds:schemaRefs>
</ds:datastoreItem>
</file>

<file path=customXml/itemProps3.xml><?xml version="1.0" encoding="utf-8"?>
<ds:datastoreItem xmlns:ds="http://schemas.openxmlformats.org/officeDocument/2006/customXml" ds:itemID="{38CC2787-2A02-4413-8140-B62D1BB3128A}">
  <ds:schemaRefs>
    <ds:schemaRef ds:uri="http://schemas.microsoft.com/sharepoint/v3/contenttype/forms"/>
  </ds:schemaRefs>
</ds:datastoreItem>
</file>

<file path=customXml/itemProps4.xml><?xml version="1.0" encoding="utf-8"?>
<ds:datastoreItem xmlns:ds="http://schemas.openxmlformats.org/officeDocument/2006/customXml" ds:itemID="{08AB8116-037F-49AC-AA5D-6B88A4CEDF53}">
  <ds:schemaRefs>
    <ds:schemaRef ds:uri="http://schemas.microsoft.com/office/2006/metadata/customXsn"/>
  </ds:schemaRefs>
</ds:datastoreItem>
</file>

<file path=customXml/itemProps5.xml><?xml version="1.0" encoding="utf-8"?>
<ds:datastoreItem xmlns:ds="http://schemas.openxmlformats.org/officeDocument/2006/customXml" ds:itemID="{4F1B631A-30E2-4011-B48F-0672B2B5E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11474</Words>
  <Characters>65403</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TBD Sub to PC (draft)</vt:lpstr>
    </vt:vector>
  </TitlesOfParts>
  <Company>Toshiba</Company>
  <LinksUpToDate>false</LinksUpToDate>
  <CharactersWithSpaces>76724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TBD Sub to PC (draft)</dc:title>
  <dc:subject/>
  <dc:creator>Dan</dc:creator>
  <cp:keywords/>
  <dc:description/>
  <cp:lastModifiedBy>Robyn Sadlier</cp:lastModifiedBy>
  <cp:revision>2</cp:revision>
  <cp:lastPrinted>2019-02-12T19:43:00Z</cp:lastPrinted>
  <dcterms:created xsi:type="dcterms:W3CDTF">2019-02-12T19:44:00Z</dcterms:created>
  <dcterms:modified xsi:type="dcterms:W3CDTF">2019-02-12T19:44:00Z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0x010100A27339768AE87746B92EBF614B259859</vt:lpwstr>
  </property>
</Properties>
</file>